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Rubicon Research Limited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US-focused specialty/generic pharma formulation company, recently listed, with strong ROCE/ROE and 5-year profit CAGR of ~52% - but a ~Rs 31,000 Cr market cap already prices in that growth, and no named structural inflection was found beyond the underlying US-generics business itself.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Rubicon Research is a formulation-focused pharmaceutical company with ~99.5% of Q1 FY26 revenue from the US generic and specialty drug market. Seeded via untrusted X triage (@ParthaAwe, 2026-09-13, medium conviction).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31,004 Cr (price ~Rs 1,873)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~28.4%; ROE ~27.0%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5-yr revenue CAGR ~31.6%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growth</w:t>
            </w:r>
          </w:p>
        </w:tc>
        <w:tc>
          <w:tcPr>
            <w:tcW w:type="dxa" w:w="5800"/>
          </w:tcPr>
          <w:p>
            <w:r>
              <w:t xml:space="preserve">5-yr profit CAGR ~52.0%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Reducing debt load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571 - Rs 1,899 (near 52-week high, Aug 2026)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Strong fundamentals (high ROCE/ROE, fast profit growth, deleveraging) on a recent listing riding the US generics/specialty pharma export theme. At ~Rs 31,000 Cr market cap this is a large-cap by this project's convention, so the large-cap gate applies: no specific NAMED management or structural inflection (new CEO turnaround, regulatory shift, capital-allocation regime change) was found in this pass beyond the existing US-generics growth story, which is a 'good business' narrative rather than an inflection. Stock is trading near its 52-week high, suggesting the growth is already well recognised by the market.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Near 52-week high (~Rs 1,873 vs high ~Rs 1,899) - momentum intact but limited margin of safety at current levels.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per large-cap-no-inflection fast-lane rule.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 (large-cap fast lane).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in this pass (screener/web sources only) - clean balance sheet, reducing debt.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ROCE (~28%) / ROE (~27%) with 5-yr profit CAGR ~52%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 specialty/generic pharma exposure benefits from continued reshoring/diversification of US drug supply away from China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Reducing debt load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structural inflection identified - large-cap fast-lane default applies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Trading near 52-week high; growth already priced in at ~31,000 Cr market cap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 listing - limited multi-year public track record to verify consistency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31,000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Strong-fundamentals US pharma formulation play, but large-cap with no named structural inflection found - thesis_fit 'neither' per fast-lane default,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(~Rs 31,000 Cr) triggers the default tam:no fast-lane rule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named management/structural inflection found this pass beyond the existing US-generics growth narrative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 found; fundamentals are genuinely strong, supporting Low-Medium (not just Low)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deep-dive performed per fast-lane rule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2026-09-15T15:09:12.689Z</dcterms:created>
  <dcterms:modified xsi:type="dcterms:W3CDTF">2026-09-15T15:09:12.695Z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