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 P Apparels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Tirupur-based infant/children's knitwear exporter riding the China+1 apparel-sourcing shift, but a full ~24.5x P/E against modest 11.2% ROE leaves little margin of safety.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 P Apparels Ltd (NSE: SPAL) is an end-to-end manufacturer and exporter of knitted garments headquartered near Tirupur, Tamil Nadu, specialising in infant and children's wear (long-standing UK/US retail relationships such as Mothercare) and recently expanding into adult apparel.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2,574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 range</w:t>
            </w:r>
          </w:p>
        </w:tc>
        <w:tc>
          <w:tcPr>
            <w:tcW w:type="dxa" w:w="5800"/>
          </w:tcPr>
          <w:p>
            <w:r>
              <w:t xml:space="preserve">Rs 1,023 / Rs 585 - Rs 1,222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11.2-11.4%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24.5x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Rs 376 (stock trades at ~2.7x book)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Improved from 42.5 to 24.2 days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China+1/Bangladesh-diversification tailwind for Indian apparel exporters is real and SPAL is a genuine beneficiary given its established Western retail relationships, and working-capital discipline has visibly improved. But at ~24.5x trailing P/E against an ROE of only ~11.2% and 2.7x book, valuation has already priced in a good chunk of the sourcing-shift story - garment manufacturing itself remains a lower-moat, margin-thin business relative to the multiple being paid.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mid-range (Rs 1,023 vs 52-wk band Rs 585-1,222); no further TA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2.5 (2.0-2.5 band defaults to neither without an explicit exception) and low ROE/high multiple did not support writing one.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China+1/apparel-sourcing-diversification beneficiary with established UK/US retail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days improving (42.5 -&gt; 24.2)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in infant/children's wear, now expanding into adult apparel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only ~11.2% against a full ~24.5x P/E and 2.7x book - not cheap for the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Garment manufacturing is a lower-moat, commoditised, margin-thin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beyond the general sourcing-shift theme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sourcing-shift beneficiary but priced for it - 24.5x P/E against 11.2% ROE.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China+1 tailwind but a full multiple against modest ROE - four_box score 2.5, defaults to neither without an explicit exception.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(1.0, genuine sourcing-shift beneficiary), tam weak (0.5, niche within a large but commoditised global apparel market), moat weak (0.5, retail relationships but low pricing power), valuation weak (0.5, 24.5x P/E vs 11.2% ROE) =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2.0-2.5 band defaults to 'neither' absent an explicit exception; ROE too modest relative to the multiple to write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- untrusted X seed, fundamentals fine but not undervalued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2026-09-15T15:10:07.228Z</dcterms:created>
  <dcterms:modified xsi:type="dcterms:W3CDTF">2026-09-15T15:10:07.228Z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