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SBI Funds Management Ltd (SBI Mutual Fund)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AMC by AUM, freshly listed (July 2026 IPO at Rs 574) at a mega-cap ~Rs 1.12 lakh Cr valuation - a quality, asset-light franchise riding the generic financialization-of-savings tailwind, but no company-specific inflection found; a large-cap fast-pass.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SBI Funds Management Ltd (NSE/BSE: SBIFUNDS) is the asset management company for SBI Mutual Fund, a joint venture between State Bank of India (majority) and Amundi (French asset manager). It listed on NSE/BSE on 21 July 2026 via an IPO where SBI sold ~6.3% and Amundi ~3.7% stake. Seeded via untrusted X triage (@SanaSecurities, 2026-09-13). Now a mega-cap (~Rs 1.12 lakh Cr) - fast triage per large-cap protocol.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1,12,200 Cr (as of Sept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IPO price / listing</w:t>
            </w:r>
          </w:p>
        </w:tc>
        <w:tc>
          <w:tcPr>
            <w:tcW w:type="dxa" w:w="5800"/>
          </w:tcPr>
          <w:p>
            <w:r>
              <w:t xml:space="preserve">Rs 574 issue price; listed ~6.85% premium (~Rs 613-623), settled ~Rs 610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Business model</w:t>
            </w:r>
          </w:p>
        </w:tc>
        <w:tc>
          <w:tcPr>
            <w:tcW w:type="dxa" w:w="5800"/>
          </w:tcPr>
          <w:p>
            <w:r>
              <w:t xml:space="preserve">Asset management fee income (AUM-linked, asset-light)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5800"/>
          </w:tcPr>
          <w:p>
            <w:r>
              <w:t xml:space="preserve">SBI (majority) + Amundi (JV partner)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Sector tailwind</w:t>
            </w:r>
          </w:p>
        </w:tc>
        <w:tc>
          <w:tcPr>
            <w:tcW w:type="dxa" w:w="5800"/>
          </w:tcPr>
          <w:p>
            <w:r>
              <w:t xml:space="preserve">Indian mutual-fund industry AUM and SIP flows at record levels (industry-wide, not company-specific)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SBI Funds Management is India's largest AMC by AUM, combining SBI's vast distribution network/brand with Amundi's global asset-management expertise - a genuinely high-quality, capital-light, high-ROE business model typical of listed AMCs. It listed at a rich valuation in July 2026 (market cap already ~Rs 1.26 lakh Cr at listing, since settled to ~Rs 1.12 lakh Cr) reflecting the market's eagerness to own the financialization-of-Indian-savings theme. That tailwind (rising SIP flows, growing MF penetration) is real but is an industry-wide theme, not a specific named catalyst unique to this company - it already holds the largest AUM base in the country, so incremental market-share gains (rather than a structural inflection) would have to drive further outperformance.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Newly listed (July 2026); stock has drifted slightly below its listing-day high, trading near ~Rs 610-623 versus the Rs 574 issue price. No further TA pulled - too short a trading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fast-triage protocol; also too newly listed for a mature VP thread).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(large-cap fast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 Freshly listed via IPO (partial stake sale by SBI and Amundi); majority ownership retained by SBI.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AMC in India by AUM, asset-light and high-ROE by nature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SBI distribution network + Amundi global expertise = durable competitive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Structural, multi-year financialization-of-savings tailwind (rising SIP flows, MF penetration) for the industry as a whole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company-specific named inflection - already the largest AMC, so further re-rating depends on generic industry tailwinds rather than a fresh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IPO'd at a rich valuation; stock has already settled below its listing-day peak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(~Rs 1.12 lakh Cr) - well outside the return-magnitude bracket this screen targets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AMC earnings are market-linked (AUM x yield); a broad equity-market drawdown would directly hit fee income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Mega/large-cap (~Rs 1.12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applied - no company-specific named inflection found beyond the generic financialization-of-savings industry theme; already the largest AMC by AUM so tam scored 'no'. Rich IPO valuation scored 'weak'.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India's largest AMC, a quality asset-light franchise freshly listed at a rich mega-cap valuation - no company-specific inflection found beyond the generic financialization-of-savings theme;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Mega/large-cap (~Rs 1.12 lakh Cr): per protocol, tam defaults 'no' absent a specific named management/structural inflection - none found; the financialization-of-savings tailwind is industry-wide, not company-specific.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tailwind yes, tam no, moat yes (largest AUM + SBI distribution + Amundi expertise), valuation weak (rich IPO valuation, stock already softening) -&gt; score 2.5.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large-cap-no-inflection rule; conviction set at Medium (upper end of the Low-Medium ceiling) given the genuine business quality, despite the mega-cap size and lack of a fresh catalyst.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fast-triage protocol; stock also too newly listed for a mature VP thread.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2026-09-16T02:43:25.751Z</dcterms:created>
  <dcterms:modified xsi:type="dcterms:W3CDTF">2026-09-16T02:43:25.752Z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