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Sammaan Capital Ltd (formerly Indiabulls Housing Finance)</w:t>
      </w:r>
    </w:p>
    <w:p>
      <w:pPr>
        <w:pBdr>
          <w:bottom w:val="single" w:color="CCCCCC" w:sz="6" w:space="8"/>
        </w:pBdr>
        <w:spacing w:after="200"/>
      </w:pPr>
      <w:r>
        <w:rPr>
          <w:i/>
          <w:iCs/>
          <w:color w:val="666666"/>
          <w:sz w:val="22"/>
          <w:szCs w:val="22"/>
        </w:rPr>
        <w:t xml:space="preserve">Housing/mortgage-lending NBFC under an active Supreme-Court-directed CBI probe into ED fraud allegations (loans allegedly routed back to erstwhile-promoter-linked entities), alongside negative ROE and a large reported loss - a red-flag EXCLUDE.</w:t>
      </w:r>
    </w:p>
    <w:p>
      <w:pPr>
        <w:shd w:fill="FFF0F0" w:val="clear"/>
        <w:spacing w:after="200"/>
      </w:pPr>
      <w:r>
        <w:rPr>
          <w:b/>
          <w:bCs/>
          <w:color w:val="6B2020"/>
          <w:sz w:val="22"/>
          <w:szCs w:val="22"/>
        </w:rPr>
        <w:t xml:space="preserve">RED FLAG TIER: EXCLUDE — </w:t>
      </w:r>
      <w:r>
        <w:rPr>
          <w:sz w:val="20"/>
          <w:szCs w:val="20"/>
        </w:rPr>
        <w:t xml:space="preserve">Active, Supreme Court-directed CBI investigation (2026) into ED fraud allegations that the company extended loans routed back to erstwhile-promoter-linked entities; Supreme Court has also pushed for a separate SIT probe over concerns about CBI's handling. Combined with a large reported loss (~-Rs 7,236 Cr), negative ROE, and 5-year revenue de-growth.</w:t>
      </w:r>
    </w:p>
    <w:p>
      <w:pPr>
        <w:pStyle w:val="Heading1"/>
        <w:spacing w:after="120" w:before="280"/>
      </w:pPr>
      <w:r>
        <w:t xml:space="preserve">Business Overview</w:t>
      </w:r>
    </w:p>
    <w:p>
      <w:pPr>
        <w:spacing w:after="120"/>
      </w:pPr>
      <w:r>
        <w:t xml:space="preserve">Sammaan Capital Ltd (NSE: SAMMAANCAP, formerly Indiabulls Housing Finance Ltd) is a housing-finance and mortgage-backed lending NBFC. Seeded via untrusted X triage (@SanaSecurities, 2026-09-13). Red-flag fast disposition per protocol - EXCLUDE.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17,110 Cr</w:t>
            </w:r>
          </w:p>
        </w:tc>
      </w:tr>
      <w:tr>
        <w:tc>
          <w:tcPr>
            <w:tcW w:type="dxa" w:w="3200"/>
            <w:shd w:fill="F2F2F2" w:val="clear"/>
          </w:tcPr>
          <w:p>
            <w:r>
              <w:rPr>
                <w:b/>
                <w:bCs/>
              </w:rPr>
              <w:t xml:space="preserve">Revenue</w:t>
            </w:r>
          </w:p>
        </w:tc>
        <w:tc>
          <w:tcPr>
            <w:tcW w:type="dxa" w:w="5800"/>
          </w:tcPr>
          <w:p>
            <w:r>
              <w:t xml:space="preserve">~Rs 7,418 Cr</w:t>
            </w:r>
          </w:p>
        </w:tc>
      </w:tr>
      <w:tr>
        <w:tc>
          <w:tcPr>
            <w:tcW w:type="dxa" w:w="3200"/>
            <w:shd w:fill="F2F2F2" w:val="clear"/>
          </w:tcPr>
          <w:p>
            <w:r>
              <w:rPr>
                <w:b/>
                <w:bCs/>
              </w:rPr>
              <w:t xml:space="preserve">Reported profit</w:t>
            </w:r>
          </w:p>
        </w:tc>
        <w:tc>
          <w:tcPr>
            <w:tcW w:type="dxa" w:w="5800"/>
          </w:tcPr>
          <w:p>
            <w:r>
              <w:t xml:space="preserve">~-Rs 7,236 Cr (large loss)</w:t>
            </w:r>
          </w:p>
        </w:tc>
      </w:tr>
      <w:tr>
        <w:tc>
          <w:tcPr>
            <w:tcW w:type="dxa" w:w="3200"/>
            <w:shd w:fill="F2F2F2" w:val="clear"/>
          </w:tcPr>
          <w:p>
            <w:r>
              <w:rPr>
                <w:b/>
                <w:bCs/>
              </w:rPr>
              <w:t xml:space="preserve">ROE</w:t>
            </w:r>
          </w:p>
        </w:tc>
        <w:tc>
          <w:tcPr>
            <w:tcW w:type="dxa" w:w="5800"/>
          </w:tcPr>
          <w:p>
            <w:r>
              <w:t xml:space="preserve">~-0.08% (negative)</w:t>
            </w:r>
          </w:p>
        </w:tc>
      </w:tr>
      <w:tr>
        <w:tc>
          <w:tcPr>
            <w:tcW w:type="dxa" w:w="3200"/>
            <w:shd w:fill="F2F2F2" w:val="clear"/>
          </w:tcPr>
          <w:p>
            <w:r>
              <w:rPr>
                <w:b/>
                <w:bCs/>
              </w:rPr>
              <w:t xml:space="preserve">Revenue growth</w:t>
            </w:r>
          </w:p>
        </w:tc>
        <w:tc>
          <w:tcPr>
            <w:tcW w:type="dxa" w:w="5800"/>
          </w:tcPr>
          <w:p>
            <w:r>
              <w:t xml:space="preserve">Poor -3.97% over past 5 years</w:t>
            </w:r>
          </w:p>
        </w:tc>
      </w:tr>
      <w:tr>
        <w:tc>
          <w:tcPr>
            <w:tcW w:type="dxa" w:w="3200"/>
            <w:shd w:fill="F2F2F2" w:val="clear"/>
          </w:tcPr>
          <w:p>
            <w:r>
              <w:rPr>
                <w:b/>
                <w:bCs/>
              </w:rPr>
              <w:t xml:space="preserve">Promoter holding</w:t>
            </w:r>
          </w:p>
        </w:tc>
        <w:tc>
          <w:tcPr>
            <w:tcW w:type="dxa" w:w="5800"/>
          </w:tcPr>
          <w:p>
            <w:r>
              <w:t xml:space="preserve">~28.3%</w:t>
            </w:r>
          </w:p>
        </w:tc>
      </w:tr>
      <w:tr>
        <w:tc>
          <w:tcPr>
            <w:tcW w:type="dxa" w:w="3200"/>
            <w:shd w:fill="F2F2F2" w:val="clear"/>
          </w:tcPr>
          <w:p>
            <w:r>
              <w:rPr>
                <w:b/>
                <w:bCs/>
              </w:rPr>
              <w:t xml:space="preserve">Legal/regulatory status</w:t>
            </w:r>
          </w:p>
        </w:tc>
        <w:tc>
          <w:tcPr>
            <w:tcW w:type="dxa" w:w="5800"/>
          </w:tcPr>
          <w:p>
            <w:r>
              <w:t xml:space="preserve">Active CBI probe (Supreme Court-directed, 2026) into ED fraud allegations against the company and named parties</w:t>
            </w:r>
          </w:p>
        </w:tc>
      </w:tr>
    </w:tbl>
    <w:p>
      <w:pPr>
        <w:spacing w:after="100"/>
      </w:pPr>
    </w:p>
    <w:p>
      <w:pPr>
        <w:spacing w:after="120"/>
      </w:pPr>
      <w:r>
        <w:t xml:space="preserve">Fast disposition - red flag. In 2026 the Supreme Court directed the CBI to investigate all six allegations of financial irregularities levelled by the Enforcement Directorate against Indiabulls Housing Finance Ltd (now Sammaan Capital) and six separately named parties - the allegation being that the company extended loans to entities that routed money back to firms linked to erstwhile promoter Sameer Gehlaut. The Supreme Court separately criticized SEBI, CBI and MCA for a 'passive approach' to the probe, and more recently pushed for an SIT probe over concerns the CBI was 'acting unusually friendly' toward the company in the case. Although Gehlaut himself has been reclassified from 'promoter' to 'public' and holds no shares, the investigation targets company-level conduct (the loans were extended by the listed entity), not just the individual - so this is an active, company-level fraud investigation, not merely an ex-promoter's personal legal exposure. Combined with a large reported loss (~-Rs 7,236 Cr), negative ROE, and 5-year revenue de-growth (-3.97%), this clears the EXCLUDE bar.</w:t>
      </w:r>
    </w:p>
    <w:p>
      <w:pPr>
        <w:pStyle w:val="Heading1"/>
        <w:spacing w:after="120" w:before="280"/>
      </w:pPr>
      <w:r>
        <w:t xml:space="preserve">Technical Read (Weekly / Monthly MACD + Bollinger Bands, or RSI/CCI/Williams %R proxy)</w:t>
      </w:r>
    </w:p>
    <w:p>
      <w:pPr>
        <w:spacing w:after="120"/>
      </w:pPr>
      <w:r>
        <w:t xml:space="preserve">Not pulled - red flag (AVOID/EXCLUDE class).</w:t>
      </w:r>
    </w:p>
    <w:p>
      <w:pPr>
        <w:pStyle w:val="Heading1"/>
        <w:spacing w:after="120" w:before="280"/>
      </w:pPr>
      <w:r>
        <w:t xml:space="preserve">ValuePickr Community Signal</w:t>
      </w:r>
    </w:p>
    <w:p>
      <w:pPr>
        <w:spacing w:after="120"/>
      </w:pPr>
      <w:r>
        <w:t xml:space="preserve">No Step-4 forum read performed - red flag. Assessment is web/filing/news-based.</w:t>
      </w:r>
    </w:p>
    <w:p>
      <w:pPr>
        <w:spacing w:after="120"/>
      </w:pPr>
      <w:r>
        <w:rPr>
          <w:b/>
          <w:bCs/>
          <w:sz w:val="20"/>
          <w:szCs w:val="20"/>
        </w:rPr>
        <w:t xml:space="preserve">High-conviction call from a top contributor: </w:t>
      </w:r>
      <w:r>
        <w:rPr>
          <w:sz w:val="20"/>
          <w:szCs w:val="20"/>
        </w:rPr>
        <w:t xml:space="preserve">None sought - red flag.</w:t>
      </w:r>
    </w:p>
    <w:p>
      <w:pPr>
        <w:pStyle w:val="Heading1"/>
        <w:spacing w:after="120" w:before="280"/>
      </w:pPr>
      <w:r>
        <w:t xml:space="preserve">BSE Corporate Actions / Other Red Flags</w:t>
      </w:r>
    </w:p>
    <w:p>
      <w:pPr>
        <w:spacing w:after="120"/>
      </w:pPr>
      <w:r>
        <w:t xml:space="preserve">EXCLUDE. Active, Supreme Court-directed CBI investigation (2026) into ED-alleged financial irregularities (loans routed back to promoter-linked entities) at the company level, plus a Supreme Court push for a separate SIT probe amid concerns about CBI's handling. Large reported loss and negative ROE compound the concern.</w:t>
      </w:r>
    </w:p>
    <w:p>
      <w:pPr>
        <w:pStyle w:val="Heading1"/>
        <w:spacing w:after="120" w:before="280"/>
      </w:pPr>
      <w:r>
        <w:t xml:space="preserve">Bull Case</w:t>
      </w:r>
    </w:p>
    <w:p>
      <w:pPr>
        <w:pStyle w:val="ListParagraph"/>
        <w:numPr>
          <w:ilvl w:val="0"/>
          <w:numId w:val="1"/>
        </w:numPr>
        <w:spacing w:after="60"/>
      </w:pPr>
      <w:r>
        <w:t xml:space="preserve">Large asset base and revenue scale (~Rs 7,418 Cr) if the legal overhang were ever fully resolved in the company's favour</w:t>
      </w:r>
    </w:p>
    <w:p>
      <w:pPr>
        <w:pStyle w:val="Heading1"/>
        <w:spacing w:after="120" w:before="280"/>
      </w:pPr>
      <w:r>
        <w:t xml:space="preserve">Bear Case / Key Risks</w:t>
      </w:r>
    </w:p>
    <w:p>
      <w:pPr>
        <w:pStyle w:val="ListParagraph"/>
        <w:numPr>
          <w:ilvl w:val="0"/>
          <w:numId w:val="1"/>
        </w:numPr>
        <w:spacing w:after="60"/>
      </w:pPr>
      <w:r>
        <w:t xml:space="preserve">Active, Supreme Court-directed CBI investigation into ED fraud allegations against the company (loans allegedly routed back to erstwhile-promoter-linked entities) - unresolved as of 2026</w:t>
      </w:r>
    </w:p>
    <w:p>
      <w:pPr>
        <w:pStyle w:val="ListParagraph"/>
        <w:numPr>
          <w:ilvl w:val="0"/>
          <w:numId w:val="1"/>
        </w:numPr>
        <w:spacing w:after="60"/>
      </w:pPr>
      <w:r>
        <w:t xml:space="preserve">Supreme Court has separately flagged concerns about the CBI's handling of the case and pushed for an SIT probe - the investigation is escalating, not winding down</w:t>
      </w:r>
    </w:p>
    <w:p>
      <w:pPr>
        <w:pStyle w:val="ListParagraph"/>
        <w:numPr>
          <w:ilvl w:val="0"/>
          <w:numId w:val="1"/>
        </w:numPr>
        <w:spacing w:after="60"/>
      </w:pPr>
      <w:r>
        <w:t xml:space="preserve">Reported loss of ~-Rs 7,236 Cr and negative ROE (~-0.08%)</w:t>
      </w:r>
    </w:p>
    <w:p>
      <w:pPr>
        <w:pStyle w:val="ListParagraph"/>
        <w:numPr>
          <w:ilvl w:val="0"/>
          <w:numId w:val="1"/>
        </w:numPr>
        <w:spacing w:after="60"/>
      </w:pPr>
      <w:r>
        <w:t xml:space="preserve">5-year revenue de-growth of -3.97% and low interest coverage</w:t>
      </w:r>
    </w:p>
    <w:p>
      <w:pPr>
        <w:pStyle w:val="Heading1"/>
        <w:spacing w:after="120" w:before="280"/>
      </w:pPr>
      <w:r>
        <w:t xml:space="preserve">Market-Cap Tier (informational — not a gate in this project)</w:t>
      </w:r>
    </w:p>
    <w:p>
      <w:pPr>
        <w:spacing w:after="120"/>
      </w:pPr>
      <w:r>
        <w:rPr>
          <w:b/>
          <w:bCs/>
        </w:rPr>
        <w:t xml:space="preserve">Large-cap (~Rs 17,110 Cr) - distressed/under investigation</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Active, Supreme Court-directed CBI fraud investigation into loans allegedly routed back to erstwhile-promoter-linked entities, compounded by a large reported loss and negative ROE - a red-flag EXCLUDE regardless of scale.</w:t>
      </w:r>
    </w:p>
    <w:p>
      <w:pPr>
        <w:pStyle w:val="ListParagraph"/>
        <w:numPr>
          <w:ilvl w:val="0"/>
          <w:numId w:val="1"/>
        </w:numPr>
        <w:spacing w:after="60"/>
      </w:pPr>
      <w:r>
        <w:t xml:space="preserve">red_flag_tier EXCLUDE: active, company-level SEBI/ED/CBI-adjacent fraud investigation (Supreme Court-directed CBI probe, 2026) - never overridden</w:t>
      </w:r>
    </w:p>
    <w:p>
      <w:pPr>
        <w:pStyle w:val="ListParagraph"/>
        <w:numPr>
          <w:ilvl w:val="0"/>
          <w:numId w:val="1"/>
        </w:numPr>
        <w:spacing w:after="60"/>
      </w:pPr>
      <w:r>
        <w:t xml:space="preserve">thesis_fit 'neither', conviction Low, Step 4 (four_box) skipped per the red-flag rule</w:t>
      </w:r>
    </w:p>
    <w:p>
      <w:pPr>
        <w:pStyle w:val="ListParagraph"/>
        <w:numPr>
          <w:ilvl w:val="0"/>
          <w:numId w:val="1"/>
        </w:numPr>
        <w:spacing w:after="60"/>
      </w:pPr>
      <w:r>
        <w:t xml:space="preserve">Negative ROE and a large reported loss (~-Rs 7,236 Cr) independently corroborate the distress, beyond the legal overhang alone</w:t>
      </w:r>
    </w:p>
    <w:p>
      <w:pPr>
        <w:pStyle w:val="ListParagraph"/>
        <w:numPr>
          <w:ilvl w:val="0"/>
          <w:numId w:val="1"/>
        </w:numPr>
        <w:spacing w:after="60"/>
      </w:pPr>
      <w:r>
        <w:t xml:space="preserve">Seeded via untrusted X triage; the fundamentals and legal status do not survive even a fast disposition check</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2026-09-16T02:42:58.671Z</dcterms:created>
  <dcterms:modified xsi:type="dcterms:W3CDTF">2026-09-16T02:42:58.672Z</dcterms:modified>
</cp:coreProperties>
</file>

<file path=docProps/custom.xml><?xml version="1.0" encoding="utf-8"?>
<Properties xmlns="http://schemas.openxmlformats.org/officeDocument/2006/custom-properties" xmlns:vt="http://schemas.openxmlformats.org/officeDocument/2006/docPropsVTypes"/>
</file>