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Skyways Air Services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Delhi-based air/ocean freight-forwarding and logistics group, freshly listed (IPO Sept 2026) at a ~Rs 1,650-1,700 Cr market cap; decent return ratios but high leverage and a stock already trading below its issue price.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Incorporated 1984, New Delhi. Provides air freight forwarding, ocean freight forwarding, trucking, warehousing, custom broking and express cargo/parcel delivery, including via subsidiary Forin Container Line Pvt Ltd. Listed on NSE/BSE on 1 Sept 2026 at an issue price of Rs 138; shares were trading around Rs 114-115 as of 7 Sept 2026, i.e. below issue price. A large part of the fresh-issue proceeds (~Rs 216.79 Cr) is earmarked to repay/prepay existing borrowings at the company and Forin Container Line.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1,650-1,700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Listing</w:t>
            </w:r>
          </w:p>
        </w:tc>
        <w:tc>
          <w:tcPr>
            <w:tcW w:type="dxa" w:w="5800"/>
          </w:tcPr>
          <w:p>
            <w:r>
              <w:t xml:space="preserve">IPO Sept 1, 2026 at Rs 138; CMP ~Rs 114-115 (below issue price)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~14.2%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~18.1%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~1.88x - elevated for a freight-forwarding/asset-light business; borrowings ~Rs 624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EPS</w:t>
            </w:r>
          </w:p>
        </w:tc>
        <w:tc>
          <w:tcPr>
            <w:tcW w:type="dxa" w:w="5800"/>
          </w:tcPr>
          <w:p>
            <w:r>
              <w:t xml:space="preserve">~Rs 3.56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~56.8% (Aug 2026); FII -0.53%, DII 11.8%, public 19.3%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long-established (1984) but only just-listed freight-forwarding/logistics operator. ROE (~14%) and ROCE (~18%) are respectable but unremarkable, and the debt-to-equity ratio of ~1.88x is high for what is nominally an asset-light forwarding business - a meaningful chunk of the IPO's fresh-issue proceeds is being used specifically to pay down this debt, which is a sensible use of funds but also flags that leverage was a real pre-IPO concern rather than a one-off note. The stock is trading below its IPO issue price roughly a week after listing, suggesting muted post-listing demand.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Freshly listed (Sept 1, 2026); no meaningful trading history/technical structure exists yet. Trading below issue price since debut.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ValuePickr thread resolved this pass (topic_id null in state; not searched given the 'neither' fast-disposition below and tight batch budget) - assessment is web/filings-based only.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 enforcement/fraud action found. SEBI hits in search results are routine IPO filings (DRHP/RHP/prospectus), not any adverse action. No promoter-pledge or auditor-resignation flags found. Elevated leverage (D/E ~1.88x) is a genuine balance-sheet caution but does not rise to AVOID/EXCLUDE/HIGH CAUTION tier.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 air/ocean freight-forwarding and logistics demand is structurally growing (trade volumes, e-commerce, China+1 supply-chain shifts)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IPO proceeds specifically earmarked to cut high existing debt, which should improve ROE quality going forward if executed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Decades of operating history (since 1984) in a fragmented, relationship-driven industry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leverage (D/E ~1.88x, ~Rs 624 Cr borrowings) for an asset-light forwarding model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Freight forwarding is a low-differentiation, thin-margin, highly competitive business with limited pricing power/moat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already trading below its Sept 2026 IPO issue price within a week of listing - weak initial market reception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post-listing track record as a public company; governance/execution unproven in public markets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1,650-1,700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no · valuation: weak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Generic logistics-sector growth (not a specific named catalyst) and a large but fragmented, low-moat freight-forwarding market; high leverage (D/E ~1.88x) and a post-IPO price already below issue price temper any valuation case. Score 1.5 -&gt; 'neither' hard per rule.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Freshly-listed, highly leveraged freight forwarder with decent but unremarkable returns and a stock already below its issue price - four-box score too weak for a growth-thesis label. thesis_fit 'neither',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~1.5 (tailwind weak - generic logistics growth, not a specific named catalyst; tam weak - large but fragmented/commoditised market; moat no - freight forwarding is a low-differentiation, price-competitive business; valuation weak - post-IPO price already below issue price, but D/E ~1.88x undercuts any 'cheap for the quality' read) - well below the 2.0-2.5 threshold, so thesis_fit defaults to 'neither' with no exception written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(no SEBI enforcement/fraud/going-concern issue found), but high leverage is a real caution factored into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thread search performed this pass given the 'neither' fast-disposition and tight batch budget; topic_id remains null in state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2026-09-13T06:43:47.621Z</dcterms:created>
  <dcterms:modified xsi:type="dcterms:W3CDTF">2026-09-13T06:43:47.624Z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