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Symbiotec Pharmalab Ltd (SYMBIOTEC)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Recently-IPO'd (Sept 2026) pharma API manufacturer with decelerating ROCE (14.0% -&gt; 11.6%) despite steady revenue growth - fundamentals corroborate the bearish external view it was seeded with.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Symbiotec Pharmalab manufactures active pharmaceutical ingredients (APIs), listed on NSE/BSE on 1 September 2026. Seeded via untrusted X triage (@JakeraChoudhury, Sept 2026) as a bearish, medium-conviction view.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7,165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934 - Rs 1,194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FY24 Rs 716 Cr -&gt; FY25 Rs 752 Cr -&gt; FY26 Rs 869 Cr (+15.4% YoY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~12.9% (3-yr avg)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Declining: 14.03% (FY24) -&gt; 11.56% (FY26)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Reduced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Listing</w:t>
            </w:r>
          </w:p>
        </w:tc>
        <w:tc>
          <w:tcPr>
            <w:tcW w:type="dxa" w:w="5800"/>
          </w:tcPr>
          <w:p>
            <w:r>
              <w:t xml:space="preserve">IPO'd 1 September 2026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Symbiotec's revenue growth looks fine on the surface (+15.4% YoY in FY26, EBITDA +12.5%), but ROCE has been steadily declining over three years (14.03% -&gt; 11.56%) even as debt was reduced - meaning returns on the capital employed are getting worse, not better, despite top-line growth. That is a capital-efficiency red flag on its own terms (not an AVOID-tier one), and it lines up with the bearish external view this name was seeded with. As a September-2026 IPO, there is minimal post-listing track record to weigh against this.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52-week range Rs 934-1,194 since its Sept 2026 listing; too short a history for a meaningful technical read.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read this pass (topic_id null); assessment is web/filings-based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AVOID/EXCLUDE-tier red flag found (no going-concern, pledge, auditor-resignation or SEBI/fraud issue surfaced). Declining ROCE trend is a fundamentals caution, not a red-flag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has grown every year for three years (Rs 716 Cr -&gt; Rs 869 Cr), with FY26 growth accelerating to +15.4%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has been reduced over the same period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has declined for three straight years (14.03% -&gt; 11.56%) despite revenue growth and debt reduction - capital efficiency is deteriorating, not improving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Original X source (@JakeraChoudhury) flagged this as a bearish, medium-conviction view - independent fundamentals (falling ROCE) corroborate rather than contradict that 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Barely one month of trading history since its September 2026 IPO - essentially no track record to underwrite a multi-year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manufacturing is a competitive, capacity-driven category; no company-specific moat evidence surfaced this pass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7,165 Cr), recently listed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yes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Global API/China+1 tailwind exists at the sector level, and TAM is large, but the company's own ROCE has declined for three straight years (14.03% -&gt; 11.56%) despite revenue growth - capital efficiency is deteriorating, and no company-specific moat evidence surfaced. Valuation not cheap against that trend.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API maker growing revenue but with three straight years of declining ROCE (14.0% -&gt; 11.6%); four_box score 2.0 defaults to 'neither' with no exception written.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2.0 (tailwind weak - sector-wide API/China+1 tailwind exists but company-specific ROCE trend is deteriorating; tam yes - global API market is large; moat weak - no company-specific evidence surfaced; valuation no - ~7,165 Cr cap against Rs 869 Cr revenue and a falling-ROCE trend is not cheap). Score 2.0-2.5 band defaults to 'neither', no exception written.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red-flag-tier issue, but declining ROCE (14.03% -&gt; 11.56% over 3 years) is a genuine capital-efficiency caution.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 source was bearish/medium-conviction; independent fundamentals (falling ROCE trend) corroborate that read rather than contradicting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thread read (topic_id null, score does not clear the 'genuinely promising' bar for a forum check); recently listed (Sept 2026) with minimal track record.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2026-09-15T15:10:57.484Z</dcterms:created>
  <dcterms:modified xsi:type="dcterms:W3CDTF">2026-09-15T15:10:57.484Z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