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Vishnu Chemicals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Hyderabad-based chromium chemicals and barium compounds exporter (57 countries) with genuine above-industry revenue growth (~25% latest quarter) and a clean-ish balance sheet, but moderate ROCE/ROE and a commodity-chemicals moat profile keep this at 'neither' for a 10x/100x label.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1989, Vishnu Chemicals manufactures and exports chromium chemicals and barium compounds, serving 12+ industries across 57 countries from its Hyderabad base. Seeded via untrusted X triage (@bastionresearch, bullish, medium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4,934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52-wk range</w:t>
            </w:r>
          </w:p>
        </w:tc>
        <w:tc>
          <w:tcPr>
            <w:tcW w:type="dxa" w:w="5800"/>
          </w:tcPr>
          <w:p>
            <w:r>
              <w:t xml:space="preserve">~Rs 733 / Rs 444 - Rs 744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~16.4% / ~14.3%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Q1 FY27 +24.9% YoY (Rs 433.4 Cr); revenue CAGR ~16.36% vs industry median ~7.42%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Not independently sized this pass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Vishnu Chemicals shows real above-industry revenue growth (Q1 FY27 +24.9% YoY, ~16% CAGR vs ~7% industry median), consistent with a specialty/export chemicals China+1-adjacent tailwind, but ROCE (~16%) and ROE (~14%) are moderate rather than exceptional, and chromium/barium chemicals are relatively commoditized product lines without an obvious structural moat (e.g., sole-supplier agreements or high switching costs) identified this pass. One market source flagged 'margin pressure' alongside the profit surge in a recent quarter, a caution not independently re-verified here.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near its 52-week high (Rs 733 vs high Rs 744) - no further TA pulled this pass (fast triage).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found: topic_id 3997, 'Vishnu Chemicals - Is Growth sustainable?' - the thread title itself flags the exact same sustainability question raised by the moderate ROCE/margin-pressure data; not deep-read this pass per fast-triage budget.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read this pass (thread exists but not opened - fast triage); the thread's own title ('Is Growth sustainable?') is a relevant signal worth following up in a fuller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Above-industry revenue growth (Q1 FY27 +24.9% YoY, ~16% CAGR vs ~7% industry median)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Diversified export base - 57 countries, 12+ served industries - reduces single-customer/geography concentration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China+1-adjacent specialty/export chemicals tailwind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(~16%) and ROE (~14%) are moderate, not exceptional, for a growth-compounder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Chromium/barium chemicals are relatively commoditized products without a clear structural moat identified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recent quarter's profit surge was flagged elsewhere as masking margin pressure - not independently re-verified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ValuePickr thread's own title ('Is Growth sustainable?') suggests the community itself has an open question here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4,900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export/growth tailwind but moderate ROCE/ROE and a commodity-chemicals moat profile - kept at 'neither' (analyst_override) given the community thread's own open growth-sustainability question.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above-industry export-chemicals growth story, but moderate returns metrics and a commodity-chemicals moat profile keep this at 'neither' for a 10x/100x label -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= 3.0 (tailwind yes - export/China+1 chemicals demand; tam weak - large but not clearly differentiated within specialty chemicals; moat weak - commodity chromium/barium products; valuation weak - trading near 52-week high on moderate ROCE) - score permits but analyst keeps 'neither' given the moderate returns profile and the community's own open sustainability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 triage only - ValuePickr thread (3997) exists with a directly relevant title but not deep-read this pass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2026-09-16T02:48:48.028Z</dcterms:created>
  <dcterms:modified xsi:type="dcterms:W3CDTF">2026-09-16T02:48:48.029Z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