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Wipro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Fourth-largest Indian IT services major - debt-free with a healthy dividend, but growth has been the slowest of the tier-1 pack and no confirmed named inflection surfaced this 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Wipro (NSE/BSE: WIPRO) is a global IT services, consulting, and business process services company, the 4th-largest Indian IT major by revenue, serving enterprise clients across BFSI, healthcare, technology, manufacturing and other verticals through digital transformation, cloud, and engineering services.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1,65,809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169 - Rs 273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(5yr)</w:t>
            </w:r>
          </w:p>
        </w:tc>
        <w:tc>
          <w:tcPr>
            <w:tcW w:type="dxa" w:w="5800"/>
          </w:tcPr>
          <w:p>
            <w:r>
              <w:t xml:space="preserve">~8.4% - weakest of the tier-1 IT pack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profit margin (TTM)</w:t>
            </w:r>
          </w:p>
        </w:tc>
        <w:tc>
          <w:tcPr>
            <w:tcW w:type="dxa" w:w="5800"/>
          </w:tcPr>
          <w:p>
            <w:r>
              <w:t xml:space="preserve">~14.6%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yield</w:t>
            </w:r>
          </w:p>
        </w:tc>
        <w:tc>
          <w:tcPr>
            <w:tcW w:type="dxa" w:w="5800"/>
          </w:tcPr>
          <w:p>
            <w:r>
              <w:t xml:space="preserve">~6.6% (payout ~47%)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Wipro carries a clean, debt-free balance sheet and a well-covered ~6.6% dividend yield, but revenue growth (~8.4% over five years) has lagged its tier-1 IT peers, reflecting execution/demand-environment challenges relative to TCS/Infosys. Margins (~14.6% net) are respectable but not best-in-class. ROCE/ROE figures were not confirmed to high precision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in the upper-middle of its 52-week range (Rs 169-273) - not pulled in further TA detail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large-cap with no confirmed named management/structural inflection found this pass, so the fast-track rule applies. X-triage seed (@rdkriplani, 2026-09-13) flagged a bullish/medium-conviction view.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SEBI/fraud/going-concern red flag found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balance sheet with a well-covered, attractive ~6.6% dividend yield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diversified enterprise client base across BFSI/healthcare/manufacturing gives some revenue resilience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Potential re-rating if a credible growth-acceleration or capital-allocation change materialises (not confirmed this pass)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(~8.4% over 5yr) the weakest among tier-1 Indian IT majors - a persistent growth-gap vs TCS/Infosys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management/structural inflection (new-CEO turnaround, strategy reset, capital-allocation regime change) confirmed in this pass's single web 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services demand environment remains uncertain (discretionary spend cuts, AI-driven pricing pressure on services) - generic sector headwind, not company-specific tailwind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1.66 lakh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weak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 (tam:no) applied absent a confirmed named inflection. Slowest revenue growth of the tier-1 IT pack is a genuine concern; debt-free balance sheet and dividend are the main offsetting positives.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Debt-free, dividend-paying tier-1 IT major with the weakest growth of its peer set - no confirmed inflection to justify overriding the large-cap default.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applies per Step 6: tam set to 'no' absent a specific named management/structural inflection; none confirmed in this pass's single web 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balance sheet and dividend yield are genuine positives but don't by themselves constitute a growth/rerating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the large-cap-no-inflection fast-track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triggered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2026-09-13T06:24:48.070Z</dcterms:created>
  <dcterms:modified xsi:type="dcterms:W3CDTF">2026-09-13T06:24:48.070Z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