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ASM Technologies Ltd</w:t>
      </w:r>
    </w:p>
    <w:p>
      <w:pPr>
        <w:pBdr>
          <w:bottom w:val="single" w:color="CCCCCC" w:sz="6" w:space="8"/>
        </w:pBdr>
        <w:spacing w:after="200"/>
      </w:pPr>
      <w:r>
        <w:rPr>
          <w:i/>
          <w:iCs/>
          <w:color w:val="666666"/>
          <w:sz w:val="22"/>
          <w:szCs w:val="22"/>
        </w:rPr>
        <w:t xml:space="preserve">Engineering-R&amp;D-services firm mid-inflection into Design-Led Manufacturing of semiconductor/solar/aerospace capital equipment (DLM now 73.6% of revenue, Q1 FY27 revenue +62% YoY, EBITDA margin ~23%, CFO turned positive) with a credible ECMS policy catalyst and a new 50:50 ASM-HHV semiconductor-equipment JV -- but the stock trades at ~127x earnings / ~30x book after a ~100x re-rating from 2020 lows, new-plant asset turns are unproven, and MD's-sons remuneration is a governance watch-item.</w:t>
      </w:r>
    </w:p>
    <w:p>
      <w:pPr>
        <w:pStyle w:val="Heading1"/>
        <w:spacing w:after="120" w:before="280"/>
      </w:pPr>
      <w:r>
        <w:t xml:space="preserve">Business Overview</w:t>
      </w:r>
    </w:p>
    <w:p>
      <w:pPr>
        <w:spacing w:after="120"/>
      </w:pPr>
      <w:r>
        <w:t xml:space="preserve">Two segments: HiTech (design, prototyping, qualification and manufacturing of semiconductor/industrial capital equipment — the growth engine, via ASM Technologies / HHV – Hind High Vacuum) and Engineering Services (Forms &amp; Gears precision mechanicals, product engineering for aerospace/industrial clients). Minority stakes / acquisitions: Myelin Foundry (20%, edge AI), Asmaitha Wireless (electronics/control). New plants at Dabaspet and Sriperumbudur operational; Rs 250 Cr Hosur LED-equipment facility; among the first firms to receive Capital-Goods-category grants under the government's ECMS with a ~Rs 565 Cr capex plan.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9,256 Cr (price ~Rs 6,345) -- up from ~Rs 6,739 Cr, the re-rating has continued</w:t>
            </w:r>
          </w:p>
        </w:tc>
      </w:tr>
      <w:tr>
        <w:tc>
          <w:tcPr>
            <w:tcW w:type="dxa" w:w="3200"/>
            <w:shd w:fill="F2F2F2" w:val="clear"/>
          </w:tcPr>
          <w:p>
            <w:r>
              <w:rPr>
                <w:b/>
                <w:bCs/>
              </w:rPr>
              <w:t xml:space="preserve">P/E / P/B</w:t>
            </w:r>
          </w:p>
        </w:tc>
        <w:tc>
          <w:tcPr>
            <w:tcW w:type="dxa" w:w="5800"/>
          </w:tcPr>
          <w:p>
            <w:r>
              <w:t xml:space="preserve">~127x / ~30x -- ~100x re-rated from 2020 lows; no margin of safety</w:t>
            </w:r>
          </w:p>
        </w:tc>
      </w:tr>
      <w:tr>
        <w:tc>
          <w:tcPr>
            <w:tcW w:type="dxa" w:w="3200"/>
            <w:shd w:fill="F2F2F2" w:val="clear"/>
          </w:tcPr>
          <w:p>
            <w:r>
              <w:rPr>
                <w:b/>
                <w:bCs/>
              </w:rPr>
              <w:t xml:space="preserve">ROCE / ROE</w:t>
            </w:r>
          </w:p>
        </w:tc>
        <w:tc>
          <w:tcPr>
            <w:tcW w:type="dxa" w:w="5800"/>
          </w:tcPr>
          <w:p>
            <w:r>
              <w:t xml:space="preserve">~27% / ~25.5% -- high, but on the pre-expansion asset base</w:t>
            </w:r>
          </w:p>
        </w:tc>
      </w:tr>
      <w:tr>
        <w:tc>
          <w:tcPr>
            <w:tcW w:type="dxa" w:w="3200"/>
            <w:shd w:fill="F2F2F2" w:val="clear"/>
          </w:tcPr>
          <w:p>
            <w:r>
              <w:rPr>
                <w:b/>
                <w:bCs/>
              </w:rPr>
              <w:t xml:space="preserve">Revenue / PAT</w:t>
            </w:r>
          </w:p>
        </w:tc>
        <w:tc>
          <w:tcPr>
            <w:tcW w:type="dxa" w:w="5800"/>
          </w:tcPr>
          <w:p>
            <w:r>
              <w:t xml:space="preserve">FY23-26 revenue Rs 220 -&gt; 202 -&gt; 289 -&gt; 529 Cr; PAT Rs 7 -&gt; (7) -&gt; 25 -&gt; 61 Cr; OPM 9 -&gt; 2.8 -&gt; 16 -&gt; 19%</w:t>
            </w:r>
          </w:p>
        </w:tc>
      </w:tr>
      <w:tr>
        <w:tc>
          <w:tcPr>
            <w:tcW w:type="dxa" w:w="3200"/>
            <w:shd w:fill="F2F2F2" w:val="clear"/>
          </w:tcPr>
          <w:p>
            <w:r>
              <w:rPr>
                <w:b/>
                <w:bCs/>
              </w:rPr>
              <w:t xml:space="preserve">Q1 FY27 (Jun 2026)</w:t>
            </w:r>
          </w:p>
        </w:tc>
        <w:tc>
          <w:tcPr>
            <w:tcW w:type="dxa" w:w="5800"/>
          </w:tcPr>
          <w:p>
            <w:r>
              <w:t xml:space="preserve">Consol revenue Rs 199 Cr (+62% YoY); EBITDA Rs 46 Cr (23.2% margin, +80%); PAT Rs 27 Cr (13.5%, +72%); interim dividend Rs 6/share</w:t>
            </w:r>
          </w:p>
        </w:tc>
      </w:tr>
      <w:tr>
        <w:tc>
          <w:tcPr>
            <w:tcW w:type="dxa" w:w="3200"/>
            <w:shd w:fill="F2F2F2" w:val="clear"/>
          </w:tcPr>
          <w:p>
            <w:r>
              <w:rPr>
                <w:b/>
                <w:bCs/>
              </w:rPr>
              <w:t xml:space="preserve">Segment mix (Q1 FY27)</w:t>
            </w:r>
          </w:p>
        </w:tc>
        <w:tc>
          <w:tcPr>
            <w:tcW w:type="dxa" w:w="5800"/>
          </w:tcPr>
          <w:p>
            <w:r>
              <w:t xml:space="preserve">DLM 73.6% of revenue, ER&amp;D 26.4%; domestic 87.2%, exports 12.8%</w:t>
            </w:r>
          </w:p>
        </w:tc>
      </w:tr>
      <w:tr>
        <w:tc>
          <w:tcPr>
            <w:tcW w:type="dxa" w:w="3200"/>
            <w:shd w:fill="F2F2F2" w:val="clear"/>
          </w:tcPr>
          <w:p>
            <w:r>
              <w:rPr>
                <w:b/>
                <w:bCs/>
              </w:rPr>
              <w:t xml:space="preserve">Operating cash flow</w:t>
            </w:r>
          </w:p>
        </w:tc>
        <w:tc>
          <w:tcPr>
            <w:tcW w:type="dxa" w:w="5800"/>
          </w:tcPr>
          <w:p>
            <w:r>
              <w:t xml:space="preserve">FY24/25/26 CFO Rs -1 / -23 / 68 Cr -- turned positive in FY26</w:t>
            </w:r>
          </w:p>
        </w:tc>
      </w:tr>
      <w:tr>
        <w:tc>
          <w:tcPr>
            <w:tcW w:type="dxa" w:w="3200"/>
            <w:shd w:fill="F2F2F2" w:val="clear"/>
          </w:tcPr>
          <w:p>
            <w:r>
              <w:rPr>
                <w:b/>
                <w:bCs/>
              </w:rPr>
              <w:t xml:space="preserve">Debt</w:t>
            </w:r>
          </w:p>
        </w:tc>
        <w:tc>
          <w:tcPr>
            <w:tcW w:type="dxa" w:w="5800"/>
          </w:tcPr>
          <w:p>
            <w:r>
              <w:t xml:space="preserve">Borrowings ~Rs 128 Cr Mar-26; D/E ~0.6</w:t>
            </w:r>
          </w:p>
        </w:tc>
      </w:tr>
      <w:tr>
        <w:tc>
          <w:tcPr>
            <w:tcW w:type="dxa" w:w="3200"/>
            <w:shd w:fill="F2F2F2" w:val="clear"/>
          </w:tcPr>
          <w:p>
            <w:r>
              <w:rPr>
                <w:b/>
                <w:bCs/>
              </w:rPr>
              <w:t xml:space="preserve">Capex / policy</w:t>
            </w:r>
          </w:p>
        </w:tc>
        <w:tc>
          <w:tcPr>
            <w:tcW w:type="dxa" w:w="5800"/>
          </w:tcPr>
          <w:p>
            <w:r>
              <w:t xml:space="preserve">New plants at Dabaspet + Sriperumbudur operational; Rs 250 Cr Hosur LED-equipment facility; ECMS Capital-Goods grantee with a ~Rs 565 Cr capex plan; ASM-HHV 50:50 JV for semiconductor/solar equipment</w:t>
            </w:r>
          </w:p>
        </w:tc>
      </w:tr>
      <w:tr>
        <w:tc>
          <w:tcPr>
            <w:tcW w:type="dxa" w:w="3200"/>
            <w:shd w:fill="F2F2F2" w:val="clear"/>
          </w:tcPr>
          <w:p>
            <w:r>
              <w:rPr>
                <w:b/>
                <w:bCs/>
              </w:rPr>
              <w:t xml:space="preserve">Governance</w:t>
            </w:r>
          </w:p>
        </w:tc>
        <w:tc>
          <w:tcPr>
            <w:tcW w:type="dxa" w:w="5800"/>
          </w:tcPr>
          <w:p>
            <w:r>
              <w:t xml:space="preserve">MD's sons draw large remuneration (one ~Rs 2.97 Cr FY26, more than the MD; also a professional racing driver); promoter holding 57.65%, down ~5pp over 3 years, no significant pledge; new-ERP + overseas-subsidiary operational issues flagged</w:t>
            </w:r>
          </w:p>
        </w:tc>
      </w:tr>
      <w:tr>
        <w:tc>
          <w:tcPr>
            <w:tcW w:type="dxa" w:w="3200"/>
            <w:shd w:fill="F2F2F2" w:val="clear"/>
          </w:tcPr>
          <w:p>
            <w:r>
              <w:rPr>
                <w:b/>
                <w:bCs/>
              </w:rPr>
              <w:t xml:space="preserve">52-week range</w:t>
            </w:r>
          </w:p>
        </w:tc>
        <w:tc>
          <w:tcPr>
            <w:tcW w:type="dxa" w:w="5800"/>
          </w:tcPr>
          <w:p>
            <w:r>
              <w:t xml:space="preserve">~Rs 2,100 - 5,165 (from ~Rs 70 Cr mcap in 2020)</w:t>
            </w:r>
          </w:p>
        </w:tc>
      </w:tr>
    </w:tbl>
    <w:p>
      <w:pPr>
        <w:spacing w:after="100"/>
      </w:pPr>
    </w:p>
    <w:p>
      <w:pPr>
        <w:spacing w:after="120"/>
      </w:pPr>
      <w:r>
        <w:t xml:space="preserve">The revenue inflection is real and cash-backed: consolidated revenue Rs 202 Cr (FY24) -&gt; Rs 289 Cr -&gt; Rs 529 Cr (FY26), quarterly revenue Rs 115 Cr (Q1 FY26) -&gt; Rs 199 Cr (Q1 FY27, +62% YoY), EBITDA margin expanded from ~3% (FY24) to ~23% (Q1 FY27), and operating cash flow turned positive (Rs 68 Cr FY26) after two negative years. Design-Led Manufacturing -- design, prototyping, qualification and manufacturing of semiconductor/solar/aerospace capital equipment -- is now 73.6% of revenue and is the engine; the positioning is reinforced by a 50:50 ASM-HHV JV (vacuum/thin-film tools) and by ASM being an early ECMS Capital-Goods grantee with a ~Rs 565 Cr capex plan (new plants at Dabaspet and Sriperumbudur operational, a Rs 250 Cr Hosur LED-equipment facility). ROCE is ~27%. Against all that: the stock trades at ~127x earnings and ~30x book after re-rating roughly 100x from its 2020 lows (and 2-4x in the last year); the ramp is on a small base with lumpy project revenue; Q3 FY26 disappointed even long-term bulls; new-plant asset turns are unproven while a large capex phase runs (so free cash flow is negative despite positive CFO); and there are governance watch-items -- the MD's sons draw remuneration high relative to their roles (one, an 'Executive Director' who is also a professional racing driver, paid ~Rs 2.97 Cr in FY26, more than the MD), plus flagged new-ERP and overseas-subsidiary execution problems.</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(ASM Technologies, BSE 526433, consolidated): mcap ~Rs 9,256 Cr, price ~Rs 6,345, P/E ~127x, P/B ~30x, ROCE 27%, ROE 25.5%, div yield 0.26%; revenue FY23-26 Rs 220/202/289/529 Cr, OPM 9/2.8/16/19%, PAT Rs 7/(7)/25/61 Cr; quarterly Q1-Q4 FY26 Rs 115/123/154/135 Cr (PAT 15/16/19/17), Q1 FY27 Rs 199 Cr / PAT Rs 27 Cr; borrowings ~Rs 128 Cr Mar-26; CFO FY24/25/26 Rs -1/-23/68 Cr; promoter 57.65% (down ~5pp/3yr), no significant pledge</w:t>
      </w:r>
    </w:p>
    <w:p>
      <w:pPr>
        <w:pStyle w:val="ListParagraph"/>
        <w:numPr>
          <w:ilvl w:val="0"/>
          <w:numId w:val="1"/>
        </w:numPr>
        <w:spacing w:after="60"/>
      </w:pPr>
      <w:r>
        <w:t xml:space="preserve">Q1 FY27 results + coverage (sahi/whalesbook/scanx/multibagg, Aug 2026): consol revenue Rs 198.8 Cr +62% YoY, EBITDA Rs 46.2 Cr (23.2% margin) +80%, PAT Rs 26.8 Cr (13.5%) +72%; DLM 73.6% of revenue, ER&amp;D 26.4%; domestic 87.2%; interim dividend Rs 6/share; new-ERP + overseas-subsidiary operational challenges noted</w:t>
      </w:r>
    </w:p>
    <w:p>
      <w:pPr>
        <w:pStyle w:val="ListParagraph"/>
        <w:numPr>
          <w:ilvl w:val="0"/>
          <w:numId w:val="1"/>
        </w:numPr>
        <w:spacing w:after="60"/>
      </w:pPr>
      <w:r>
        <w:t xml:space="preserve">ASM-HHV JV coverage (equitybulls, asmhhv.com): 50:50 JV for design-led engineering &amp; manufacturing of tools, sub-systems and components for the semiconductor and solar industries</w:t>
      </w:r>
    </w:p>
    <w:p>
      <w:pPr>
        <w:pStyle w:val="ListParagraph"/>
        <w:numPr>
          <w:ilvl w:val="0"/>
          <w:numId w:val="1"/>
        </w:numPr>
        <w:spacing w:after="60"/>
      </w:pPr>
      <w:r>
        <w:t xml:space="preserve">Prior VP thread analysis (in data file): revenue step-change from Q4 FY25, 34th AGM (Aug 2026) praised for execution clarity, tbhavesh (trusted) cautious/technicals-driven, family-remuneration flag (MD's sons), Q3 FY26 disappointing, &gt;50% correction from early-2026 top</w:t>
      </w:r>
    </w:p>
    <w:p>
      <w:pPr>
        <w:spacing w:after="120"/>
      </w:pPr>
      <w:r>
        <w:rPr>
          <w:b/>
          <w:bCs/>
          <w:sz w:val="20"/>
          <w:szCs w:val="20"/>
        </w:rPr>
        <w:t xml:space="preserve">Annual-report findings (3-year view):</w:t>
      </w:r>
    </w:p>
    <w:p>
      <w:pPr>
        <w:pStyle w:val="ListParagraph"/>
        <w:numPr>
          <w:ilvl w:val="0"/>
          <w:numId w:val="1"/>
        </w:numPr>
        <w:spacing w:after="60"/>
      </w:pPr>
      <w:r>
        <w:t xml:space="preserve">Revenue inflected hard: Rs 202 Cr (FY24, a loss year) -&gt; Rs 289 Cr (FY25) -&gt; Rs 529 Cr (FY26); OPM Rs 2.8% -&gt; 16% -&gt; 19% as DLM mix rose; PAT (Rs 7 Cr) -&gt; Rs 25 Cr -&gt; Rs 61 Cr</w:t>
      </w:r>
    </w:p>
    <w:p>
      <w:pPr>
        <w:pStyle w:val="ListParagraph"/>
        <w:numPr>
          <w:ilvl w:val="0"/>
          <w:numId w:val="1"/>
        </w:numPr>
        <w:spacing w:after="60"/>
      </w:pPr>
      <w:r>
        <w:t xml:space="preserve">Operating cash flow turned positive in FY26 (Rs 68 Cr) after -Rs 1 Cr / -Rs 23 Cr -- the ramp is now partly self-funding, though a large capex phase keeps free cash flow negative</w:t>
      </w:r>
    </w:p>
    <w:p>
      <w:pPr>
        <w:pStyle w:val="ListParagraph"/>
        <w:numPr>
          <w:ilvl w:val="0"/>
          <w:numId w:val="1"/>
        </w:numPr>
        <w:spacing w:after="60"/>
      </w:pPr>
      <w:r>
        <w:t xml:space="preserve">DLM (semiconductor/solar/aerospace capital equipment) is 73.6% of Q1 FY27 revenue and is the growth engine; ER&amp;D services is the smaller, steadier leg</w:t>
      </w:r>
    </w:p>
    <w:p>
      <w:pPr>
        <w:pStyle w:val="ListParagraph"/>
        <w:numPr>
          <w:ilvl w:val="0"/>
          <w:numId w:val="1"/>
        </w:numPr>
        <w:spacing w:after="60"/>
      </w:pPr>
      <w:r>
        <w:t xml:space="preserve">Capability stack assembled via JV/stakes: ASM-HHV 50:50 (vacuum/thin-film), Forms &amp; Gears (precision mechanicals), Myelin Foundry 20% (edge AI), Asmaitha Wireless -- an integration vision, execution unproven</w:t>
      </w:r>
    </w:p>
    <w:p>
      <w:pPr>
        <w:pStyle w:val="ListParagraph"/>
        <w:numPr>
          <w:ilvl w:val="0"/>
          <w:numId w:val="1"/>
        </w:numPr>
        <w:spacing w:after="60"/>
      </w:pPr>
      <w:r>
        <w:t xml:space="preserve">Governance watch-items: MD's sons draw remuneration high relative to their roles and to the MD's own pay (one ~Rs 2.97 Cr FY26); promoter holding 57.65%, down ~5pp over 3 years (dilution, not a collapse), no significant pledge</w:t>
      </w:r>
    </w:p>
    <w:p>
      <w:pPr>
        <w:pStyle w:val="ListParagraph"/>
        <w:numPr>
          <w:ilvl w:val="0"/>
          <w:numId w:val="1"/>
        </w:numPr>
        <w:spacing w:after="60"/>
      </w:pPr>
      <w:r>
        <w:t xml:space="preserve">Policy support: ECMS Capital-Goods grantee, ~Rs 565 Cr capex plan; new plants at Dabaspet + Sriperumbudur operational; Rs 250 Cr Hosur LED-equipment facility</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consol revenue Rs 199 Cr +62% YoY, EBITDA margin 23.2% (+80% EBITDA), PAT Rs 27 Cr +72% -- a strong print, DLM-led</w:t>
      </w:r>
    </w:p>
    <w:p>
      <w:pPr>
        <w:pStyle w:val="ListParagraph"/>
        <w:numPr>
          <w:ilvl w:val="0"/>
          <w:numId w:val="1"/>
        </w:numPr>
        <w:spacing w:after="60"/>
      </w:pPr>
      <w:r>
        <w:t xml:space="preserve">FY26 quarterly path: Rs 115 -&gt; 123 -&gt; 154 -&gt; 135 Cr -- Q4 FY26 dipped sequentially (Q3 FY26 also flagged as disappointing on expectations), so the trend is up but lumpy</w:t>
      </w:r>
    </w:p>
    <w:p>
      <w:pPr>
        <w:pStyle w:val="ListParagraph"/>
        <w:numPr>
          <w:ilvl w:val="0"/>
          <w:numId w:val="1"/>
        </w:numPr>
        <w:spacing w:after="60"/>
      </w:pPr>
      <w:r>
        <w:t xml:space="preserve">Margin has expanded fast (OPM ~3% FY24 -&gt; ~23% Q1 FY27) on mix shift to DLM and operating leverage -- not yet proven as a through-cycle level on this small a base</w:t>
      </w:r>
    </w:p>
    <w:p>
      <w:pPr>
        <w:pStyle w:val="ListParagraph"/>
        <w:numPr>
          <w:ilvl w:val="0"/>
          <w:numId w:val="1"/>
        </w:numPr>
        <w:spacing w:after="60"/>
      </w:pPr>
      <w:r>
        <w:t xml:space="preserve">New-ERP and overseas-subsidiary execution problems were flagged alongside the Q1 FY27 result</w:t>
      </w:r>
    </w:p>
    <w:p>
      <w:pPr>
        <w:spacing w:after="120"/>
      </w:pPr>
      <w:r>
        <w:rPr>
          <w:b/>
          <w:bCs/>
          <w:sz w:val="20"/>
          <w:szCs w:val="20"/>
        </w:rPr>
        <w:t xml:space="preserve">Exchange announcements (last 6 months):</w:t>
      </w:r>
    </w:p>
    <w:p>
      <w:pPr>
        <w:pStyle w:val="ListParagraph"/>
        <w:numPr>
          <w:ilvl w:val="0"/>
          <w:numId w:val="1"/>
        </w:numPr>
        <w:spacing w:after="60"/>
      </w:pPr>
      <w:r>
        <w:t xml:space="preserve">Q1 FY27 results (Aug 2026): revenue +62%, PAT +72%, EBITDA margin 23.2%; interim dividend Rs 6/share</w:t>
      </w:r>
    </w:p>
    <w:p>
      <w:pPr>
        <w:pStyle w:val="ListParagraph"/>
        <w:numPr>
          <w:ilvl w:val="0"/>
          <w:numId w:val="1"/>
        </w:numPr>
        <w:spacing w:after="60"/>
      </w:pPr>
      <w:r>
        <w:t xml:space="preserve">ASM-HHV 50:50 JV for semiconductor/solar equipment design-led engineering and manufacturing</w:t>
      </w:r>
    </w:p>
    <w:p>
      <w:pPr>
        <w:pStyle w:val="ListParagraph"/>
        <w:numPr>
          <w:ilvl w:val="0"/>
          <w:numId w:val="1"/>
        </w:numPr>
        <w:spacing w:after="60"/>
      </w:pPr>
      <w:r>
        <w:t xml:space="preserve">ECMS Capital-Goods grant participation, ~Rs 565 Cr capex plan (Hosur Rs 250 Cr LED-equipment facility)</w:t>
      </w:r>
    </w:p>
    <w:p>
      <w:pPr>
        <w:pStyle w:val="ListParagraph"/>
        <w:numPr>
          <w:ilvl w:val="0"/>
          <w:numId w:val="1"/>
        </w:numPr>
        <w:spacing w:after="60"/>
      </w:pPr>
      <w:r>
        <w:t xml:space="preserve">New plants at Dabaspet and Sriperumbudur operational</w:t>
      </w:r>
    </w:p>
    <w:p>
      <w:pPr>
        <w:pStyle w:val="ListParagraph"/>
        <w:numPr>
          <w:ilvl w:val="0"/>
          <w:numId w:val="1"/>
        </w:numPr>
        <w:spacing w:after="60"/>
      </w:pPr>
      <w:r>
        <w:t xml:space="preserve">No SEBI action or auditor change identified; promoter holding not collapsing</w:t>
      </w:r>
    </w:p>
    <w:p>
      <w:pPr>
        <w:spacing w:after="120"/>
      </w:pPr>
      <w:r>
        <w:rPr>
          <w:b/>
          <w:bCs/>
          <w:sz w:val="20"/>
          <w:szCs w:val="20"/>
        </w:rPr>
        <w:t xml:space="preserve">Key new facts vs. the prior write-up:</w:t>
      </w:r>
    </w:p>
    <w:p>
      <w:pPr>
        <w:pStyle w:val="ListParagraph"/>
        <w:numPr>
          <w:ilvl w:val="0"/>
          <w:numId w:val="1"/>
        </w:numPr>
        <w:spacing w:after="60"/>
      </w:pPr>
      <w:r>
        <w:t xml:space="preserve">The re-rating has continued since the prior pass: mcap ~Rs 6,739 Cr -&gt; ~Rs 9,256 Cr, now ~127x earnings and ~30x book</w:t>
      </w:r>
    </w:p>
    <w:p>
      <w:pPr>
        <w:pStyle w:val="ListParagraph"/>
        <w:numPr>
          <w:ilvl w:val="0"/>
          <w:numId w:val="1"/>
        </w:numPr>
        <w:spacing w:after="60"/>
      </w:pPr>
      <w:r>
        <w:t xml:space="preserve">DLM is now 73.6% of revenue and operating cash flow turned positive (Rs 68 Cr FY26) -- the inflection is real and cash-backed, not just an order-book story</w:t>
      </w:r>
    </w:p>
    <w:p>
      <w:pPr>
        <w:pStyle w:val="ListParagraph"/>
        <w:numPr>
          <w:ilvl w:val="0"/>
          <w:numId w:val="1"/>
        </w:numPr>
        <w:spacing w:after="60"/>
      </w:pPr>
      <w:r>
        <w:t xml:space="preserve">ASM-HHV JV is now a formal 50:50 entity, not just a stake -- the semiconductor-equipment positioning is more concrete</w:t>
      </w:r>
    </w:p>
    <w:p>
      <w:pPr>
        <w:pStyle w:val="ListParagraph"/>
        <w:numPr>
          <w:ilvl w:val="0"/>
          <w:numId w:val="1"/>
        </w:numPr>
        <w:spacing w:after="60"/>
      </w:pPr>
      <w:r>
        <w:t xml:space="preserve">New-ERP and overseas-subsidiary operational problems were flagged in Q1 FY27 -- execution frictions alongside the growth</w:t>
      </w:r>
    </w:p>
    <w:p>
      <w:pPr>
        <w:pStyle w:val="ListParagraph"/>
        <w:numPr>
          <w:ilvl w:val="0"/>
          <w:numId w:val="1"/>
        </w:numPr>
        <w:spacing w:after="60"/>
      </w:pPr>
      <w:r>
        <w:t xml:space="preserve">Free cash flow is negative despite positive CFO because of the large ECMS/plant capex phase; new-plant asset turns are unproven</w:t>
      </w:r>
    </w:p>
    <w:p>
      <w:pPr>
        <w:pStyle w:val="ListParagraph"/>
        <w:numPr>
          <w:ilvl w:val="0"/>
          <w:numId w:val="1"/>
        </w:numPr>
        <w:spacing w:after="60"/>
      </w:pPr>
      <w:r>
        <w:t xml:space="preserve">Governance flag persists: MD's sons' remuneration high relative to role and to MD pay</w:t>
      </w:r>
    </w:p>
    <w:p>
      <w:pPr>
        <w:spacing w:after="120"/>
      </w:pPr>
      <w:r>
        <w:rPr>
          <w:b/>
          <w:bCs/>
          <w:sz w:val="20"/>
          <w:szCs w:val="20"/>
        </w:rPr>
        <w:t xml:space="preserve">Open questions / what to watch:</w:t>
      </w:r>
    </w:p>
    <w:p>
      <w:pPr>
        <w:pStyle w:val="ListParagraph"/>
        <w:numPr>
          <w:ilvl w:val="0"/>
          <w:numId w:val="1"/>
        </w:numPr>
        <w:spacing w:after="60"/>
      </w:pPr>
      <w:r>
        <w:t xml:space="preserve">Do the new plants (Dabaspet, Sriperumbudur, Hosur) reach the asset turns that justify the ~Rs 565 Cr capex, and by when?</w:t>
      </w:r>
    </w:p>
    <w:p>
      <w:pPr>
        <w:pStyle w:val="ListParagraph"/>
        <w:numPr>
          <w:ilvl w:val="0"/>
          <w:numId w:val="1"/>
        </w:numPr>
        <w:spacing w:after="60"/>
      </w:pPr>
      <w:r>
        <w:t xml:space="preserve">Is the ~23% EBITDA margin the through-cycle level, or a ramp peak that compresses on a lumpy quarter?</w:t>
      </w:r>
    </w:p>
    <w:p>
      <w:pPr>
        <w:pStyle w:val="ListParagraph"/>
        <w:numPr>
          <w:ilvl w:val="0"/>
          <w:numId w:val="1"/>
        </w:numPr>
        <w:spacing w:after="60"/>
      </w:pPr>
      <w:r>
        <w:t xml:space="preserve">How large and firm is the DLM/semiconductor order book -- is there disclosure beyond directional commentary?</w:t>
      </w:r>
    </w:p>
    <w:p>
      <w:pPr>
        <w:pStyle w:val="ListParagraph"/>
        <w:numPr>
          <w:ilvl w:val="0"/>
          <w:numId w:val="1"/>
        </w:numPr>
        <w:spacing w:after="60"/>
      </w:pPr>
      <w:r>
        <w:t xml:space="preserve">Does the ASM-HHV JV generate meaningful revenue in FY27, or is it still pre-commercial?</w:t>
      </w:r>
    </w:p>
    <w:p>
      <w:pPr>
        <w:pStyle w:val="ListParagraph"/>
        <w:numPr>
          <w:ilvl w:val="0"/>
          <w:numId w:val="1"/>
        </w:numPr>
        <w:spacing w:after="60"/>
      </w:pPr>
      <w:r>
        <w:t xml:space="preserve">Do the MD's-sons remuneration and the ERP/overseas-subsidiary issues escalate or fade?</w:t>
      </w:r>
    </w:p>
    <w:p>
      <w:pPr>
        <w:spacing w:after="120" w:before="120"/>
      </w:pPr>
      <w:r>
        <w:rPr>
          <w:b/>
          <w:bCs/>
          <w:sz w:val="20"/>
          <w:szCs w:val="20"/>
        </w:rPr>
        <w:t xml:space="preserve">Conviction impact: </w:t>
      </w:r>
      <w:r>
        <w:rPr>
          <w:sz w:val="20"/>
          <w:szCs w:val="20"/>
        </w:rPr>
        <w:t xml:space="preserve">Medium -&gt; Medium. The deep read confirms a genuine, cash-backed inflection (DLM 73.6% of revenue, CFO turned positive, ASM-HHV now a formal JV, ECMS capex plan) and keeps the 10x-in-2-3-years label alive via the un-ignorable-growth exception, tagged unconfirmed. But it also shows the multiple has run even harder (mcap Rs 6,739 -&gt; 9,256 Cr, ~127x earnings / ~30x book), new-plant asset turns remain unproven, free cash flow is negative, and ERP/overseas-subsidiary frictions plus the family-remuneration flag persist. Conviction held at Medium; no red-flag tier.</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Commission and ramp new capacity under the ~Rs 565 Cr ECMS Capital-Goods plan</w:t>
            </w:r>
          </w:p>
        </w:tc>
        <w:tc>
          <w:tcPr>
            <w:tcW w:type="dxa" w:w="2400"/>
          </w:tcPr>
          <w:p>
            <w:r>
              <w:rPr>
                <w:b w:val="false"/>
                <w:bCs w:val="false"/>
                <w:sz w:val="18"/>
                <w:szCs w:val="18"/>
              </w:rPr>
              <w:t xml:space="preserve">Dabaspet + Sriperumbudur operational; Rs 250 Cr Hosur LED-equipment facility</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Build the ASM-HHV 50:50 JV into a semiconductor/solar equipment manufacturer</w:t>
            </w:r>
          </w:p>
        </w:tc>
        <w:tc>
          <w:tcPr>
            <w:tcW w:type="dxa" w:w="2400"/>
          </w:tcPr>
          <w:p>
            <w:r>
              <w:rPr>
                <w:b w:val="false"/>
                <w:bCs w:val="false"/>
                <w:sz w:val="18"/>
                <w:szCs w:val="18"/>
              </w:rPr>
              <w:t xml:space="preserve">tools, sub-systems, components for semiconductor and solar industries</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Sustain 40%+ revenue growth via the DLM ramp</w:t>
            </w:r>
          </w:p>
        </w:tc>
        <w:tc>
          <w:tcPr>
            <w:tcW w:type="dxa" w:w="2400"/>
          </w:tcPr>
          <w:p>
            <w:r>
              <w:rPr>
                <w:b w:val="false"/>
                <w:bCs w:val="false"/>
                <w:sz w:val="18"/>
                <w:szCs w:val="18"/>
              </w:rPr>
              <w:t xml:space="preserve">DLM now 73.6% of revenue; Q1 FY27 +62% YoY</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Hold/expand EBITDA margin around ~23% as DLM scales</w:t>
            </w:r>
          </w:p>
        </w:tc>
        <w:tc>
          <w:tcPr>
            <w:tcW w:type="dxa" w:w="2400"/>
          </w:tcPr>
          <w:p>
            <w:r>
              <w:rPr>
                <w:b w:val="false"/>
                <w:bCs w:val="false"/>
                <w:sz w:val="18"/>
                <w:szCs w:val="18"/>
              </w:rPr>
              <w:t xml:space="preserve">OPM ~3% FY24 -&gt; ~19% FY26 -&gt; 23.2% Q1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India semicon / ECMS policy + equipment-localization demand</w:t>
      </w:r>
      <w:r>
        <w:rPr>
          <w:color w:val="666666"/>
          <w:sz w:val="20"/>
          <w:szCs w:val="20"/>
        </w:rPr>
        <w:t xml:space="preserve"> → </w:t>
      </w:r>
      <w:r>
        <w:rPr>
          <w:b w:val="false"/>
          <w:bCs w:val="false"/>
          <w:sz w:val="20"/>
          <w:szCs w:val="20"/>
        </w:rPr>
        <w:t xml:space="preserve">DLM order wins (semiconductor/solar/aerospace capital equipment)</w:t>
      </w:r>
      <w:r>
        <w:rPr>
          <w:color w:val="666666"/>
          <w:sz w:val="20"/>
          <w:szCs w:val="20"/>
        </w:rPr>
        <w:t xml:space="preserve"> → </w:t>
      </w:r>
      <w:r>
        <w:rPr>
          <w:b w:val="false"/>
          <w:bCs w:val="false"/>
          <w:sz w:val="20"/>
          <w:szCs w:val="20"/>
        </w:rPr>
        <w:t xml:space="preserve">new-plant commissioning + asset turns</w:t>
      </w:r>
      <w:r>
        <w:rPr>
          <w:color w:val="666666"/>
          <w:sz w:val="20"/>
          <w:szCs w:val="20"/>
        </w:rPr>
        <w:t xml:space="preserve"> → </w:t>
      </w:r>
      <w:r>
        <w:rPr>
          <w:b w:val="false"/>
          <w:bCs w:val="false"/>
          <w:sz w:val="20"/>
          <w:szCs w:val="20"/>
        </w:rPr>
        <w:t xml:space="preserve">revenue ramp (DLM now 73.6% of mix)</w:t>
      </w:r>
      <w:r>
        <w:rPr>
          <w:color w:val="666666"/>
          <w:sz w:val="20"/>
          <w:szCs w:val="20"/>
        </w:rPr>
        <w:t xml:space="preserve"> → </w:t>
      </w:r>
      <w:r>
        <w:rPr>
          <w:b w:val="false"/>
          <w:bCs w:val="false"/>
          <w:sz w:val="20"/>
          <w:szCs w:val="20"/>
        </w:rPr>
        <w:t xml:space="preserve">operating leverage / mix shift to ~23% EBITDA margin</w:t>
      </w:r>
      <w:r>
        <w:rPr>
          <w:color w:val="666666"/>
          <w:sz w:val="20"/>
          <w:szCs w:val="20"/>
        </w:rPr>
        <w:t xml:space="preserve"> → </w:t>
      </w:r>
      <w:r>
        <w:rPr>
          <w:b w:val="false"/>
          <w:bCs w:val="false"/>
          <w:sz w:val="20"/>
          <w:szCs w:val="20"/>
        </w:rPr>
        <w:t xml:space="preserve">PAT / FCF (CFO turned positive Rs 68 Cr FY26; FCF still negative on capex)</w:t>
      </w:r>
    </w:p>
    <w:p>
      <w:pPr>
        <w:spacing w:after="120"/>
      </w:pPr>
      <w:r>
        <w:rPr>
          <w:color w:val="666666"/>
          <w:sz w:val="18"/>
          <w:szCs w:val="18"/>
        </w:rPr>
        <w:t xml:space="preserve">Bottleneck link: new-plant asset turns + DLM order-book conversion.</w:t>
      </w:r>
    </w:p>
    <w:p>
      <w:pPr>
        <w:spacing w:after="120"/>
      </w:pPr>
      <w:r>
        <w:rPr>
          <w:color w:val="666666"/>
          <w:sz w:val="18"/>
          <w:szCs w:val="18"/>
        </w:rPr>
        <w:t xml:space="preserve">Operating leverage: yes -- EBITDA margin expanded from ~3% (FY24) to ~23% (Q1 FY27) on mix shift to DLM and scale; but the ramp is on a small base with lumpy project revenue and recent ERP/overseas-subsidiary execution frictions</w:t>
      </w:r>
    </w:p>
    <w:p>
      <w:pPr>
        <w:spacing w:after="120"/>
      </w:pPr>
      <w:r>
        <w:rPr>
          <w:color w:val="666666"/>
          <w:sz w:val="18"/>
          <w:szCs w:val="18"/>
        </w:rPr>
        <w:t xml:space="preserve">Evidenced: India semicon / ECMS policy + equipment-localization demand; DLM order wins (semiconductor/solar/aerospace capital equipment); revenue ramp (DLM now 73.6% of mix); operating leverage / mix shift to ~23% EBITDA margin. Still assumed: new-plant commissioning + asset turns; PAT / FCF (CFO turned positive Rs 68 Cr FY26; FCF still negative on capex).</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6345 · 127x P/E · 55x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~127x trailing P/E and ~30x book imply the market expects EPS to compound ~50%+ for several years (toward ~Rs 300-400 Cr PAT) against a premium ~35-40x exit -- an extreme bar; the stock has already re-rated ~100x from 2020 lows</w:t>
            </w:r>
          </w:p>
        </w:tc>
      </w:tr>
      <w:tr>
        <w:tc>
          <w:tcPr>
            <w:tcW w:type="dxa" w:w="3200"/>
            <w:shd w:fill="F2F2F2" w:val="clear"/>
          </w:tcPr>
          <w:p>
            <w:r>
              <w:rPr>
                <w:b/>
                <w:bCs/>
              </w:rPr>
              <w:t xml:space="preserve">Our FY27</w:t>
            </w:r>
          </w:p>
        </w:tc>
        <w:tc>
          <w:tcPr>
            <w:tcW w:type="dxa" w:w="5800"/>
          </w:tcPr>
          <w:p>
            <w:r>
              <w:t xml:space="preserve">revenue Rs 850-950 Cr (+60-80%), EBITDA margin ~22-23%, PAT Rs 110-140 Cr</w:t>
            </w:r>
          </w:p>
        </w:tc>
      </w:tr>
      <w:tr>
        <w:tc>
          <w:tcPr>
            <w:tcW w:type="dxa" w:w="3200"/>
            <w:shd w:fill="F2F2F2" w:val="clear"/>
          </w:tcPr>
          <w:p>
            <w:r>
              <w:rPr>
                <w:b/>
                <w:bCs/>
              </w:rPr>
              <w:t xml:space="preserve">Our FY28</w:t>
            </w:r>
          </w:p>
        </w:tc>
        <w:tc>
          <w:tcPr>
            <w:tcW w:type="dxa" w:w="5800"/>
          </w:tcPr>
          <w:p>
            <w:r>
              <w:t xml:space="preserve">revenue Rs 1,300-1,600 Cr if the DLM order book and new plants deliver, PAT Rs 180-240 Cr -- strong growth, still ~40-55x forward</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-35% (our FY28 PAT vs implied)</w:t>
            </w:r>
          </w:p>
        </w:tc>
      </w:tr>
      <w:tr>
        <w:tc>
          <w:tcPr>
            <w:tcW w:type="dxa" w:w="3200"/>
            <w:shd w:fill="F2F2F2" w:val="clear"/>
          </w:tcPr>
          <w:p>
            <w:r>
              <w:rPr>
                <w:b/>
                <w:bCs/>
              </w:rPr>
              <w:t xml:space="preserve">Gap basis</w:t>
            </w:r>
          </w:p>
        </w:tc>
        <w:tc>
          <w:tcPr>
            <w:tcW w:type="dxa" w:w="5800"/>
          </w:tcPr>
          <w:p>
            <w:r>
              <w:t xml:space="preserve">the multiple discounts many years of 50%+ compounding plus a premium exit; our path (strong 60-80% near-term growth, ~23% margin, unproven new-plant asset turns) still leaves FY28 PAT well below what ~127x / ~30x book extrapolates</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2-3 quarters showing new-plant utilisation and a growing DLM/semiconductor order book that validates the re-rating, plus first meaningful ASM-HHV JV revenue</w:t>
      </w:r>
      <w:r>
        <w:rPr>
          <w:color w:val="666666"/>
          <w:sz w:val="18"/>
          <w:szCs w:val="18"/>
        </w:rPr>
        <w:t xml:space="preserve"> (window ~9M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semiconductor &amp; solar capital-equipment localization -- Design-Led Manufacturing of tools/sub-systems; India semicon / ECMS policy push</w:t>
            </w:r>
          </w:p>
        </w:tc>
      </w:tr>
      <w:tr>
        <w:tc>
          <w:tcPr>
            <w:tcW w:type="dxa" w:w="3200"/>
            <w:shd w:fill="F2F2F2" w:val="clear"/>
          </w:tcPr>
          <w:p>
            <w:r>
              <w:rPr>
                <w:b/>
                <w:bCs/>
              </w:rPr>
              <w:t xml:space="preserve">This company's position</w:t>
            </w:r>
          </w:p>
        </w:tc>
        <w:tc>
          <w:tcPr>
            <w:tcW w:type="dxa" w:w="5800"/>
          </w:tcPr>
          <w:p>
            <w:r>
              <w:t xml:space="preserve">ER&amp;D-services firm moving into DLM of semiconductor/solar/aerospace capital equipment; ASM-HHV 50:50 JV for vacuum/thin-film tools</w:t>
            </w:r>
          </w:p>
        </w:tc>
      </w:tr>
      <w:tr>
        <w:tc>
          <w:tcPr>
            <w:tcW w:type="dxa" w:w="3200"/>
            <w:shd w:fill="F2F2F2" w:val="clear"/>
          </w:tcPr>
          <w:p>
            <w:r>
              <w:rPr>
                <w:b/>
                <w:bCs/>
              </w:rPr>
              <w:t xml:space="preserve">Bottleneck node (pricing power)</w:t>
            </w:r>
          </w:p>
        </w:tc>
        <w:tc>
          <w:tcPr>
            <w:tcW w:type="dxa" w:w="5800"/>
          </w:tcPr>
          <w:p>
            <w:r>
              <w:t xml:space="preserve">new-plant commissioning + asset turns (Dabaspet, Sriperumbudur, Hosur); OEM qualification cycles</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Kaynes Technology, Cyient DLM, Data Patterns, Centum Electronics, Hind High Vacuum (JV partner)</w:t>
            </w:r>
          </w:p>
        </w:tc>
      </w:tr>
    </w:tbl>
    <w:p>
      <w:pPr>
        <w:spacing w:after="120"/>
      </w:pPr>
      <w:r>
        <w:rPr>
          <w:color w:val="666666"/>
          <w:sz w:val="18"/>
          <w:szCs w:val="18"/>
        </w:rPr>
        <w:t xml:space="preserve">A broad Indian semiconductor/electronics capital-equipment localization wave is 'adding' capacity (ASM, Kaynes, CG Power, ECMS grantees). ASM's edge is the ER&amp;D-to-DLM design capability plus the HHV vacuum/thin-film partnership; it is not yet a demonstrated moat, and the segment will get more crowded as ECMS grants land.</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mix shift to Design-Led Manufacturing (73.6% of revenue); operating leverage on the revenue ramp; semiconductor/solar capital-equipment content (higher value-add).</w:t>
      </w:r>
    </w:p>
    <w:p>
      <w:pPr>
        <w:spacing w:after="120"/>
      </w:pPr>
      <w:r>
        <w:rPr>
          <w:color w:val="666666"/>
          <w:sz w:val="18"/>
          <w:szCs w:val="18"/>
        </w:rPr>
        <w:t xml:space="preserve">EBITDA margin expanded from ~3% (FY24) to ~23% (Q1 FY27) very fast on a small, project-lumpy base. The mix shift to DLM is structural, but ~23% is not yet demonstrated as a through-cycle level -- Q3 FY26 already wobbled and ERP/overseas-subsidiary frictions could compress a quarter. A defensible normalised EBITDA margin is likely mid-to-high teens until the new plants prove their asset turns.</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FY24 -8% (loss year), FY25 +43%, FY26 +83%, Q1 FY27 +62%. Quarterly path Rs 115 -&gt; 123 -&gt; 154 -&gt; 135 -&gt; 199 Cr -- up but lumpy (Q4 FY26 dipped sequentially). PAT YoY strongly positive off a low/negative base.</w:t>
      </w:r>
    </w:p>
    <w:p>
      <w:pPr>
        <w:spacing w:after="120"/>
      </w:pPr>
      <w:r>
        <w:rPr>
          <w:color w:val="666666"/>
          <w:sz w:val="18"/>
          <w:szCs w:val="18"/>
        </w:rPr>
        <w:t xml:space="preserve">Reverse P/E: ~127x trailing and ~30x book need many years of 50%+ compounding plus a premium exit multiple; the growth trend is strong but the starting multiple is extreme and the base is small.</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Reinvesting into new plants (Dabaspet, Sriperumbudur, Rs 250 Cr Hosur) under a ~Rs 565 Cr ECMS capex plan, plus JV/stakes (ASM-HHV 50:50, Myelin 20%, Asmaitha) toward an integrated semiconductor/solar/aerospace DLM vision. Operating cash flow turned positive (Rs 68 Cr FY26) but free cash flow is negative on the capex. Asset turns on the new plants are unproven. Governance watch-item: MD's sons draw remuneration high relative to role and to the MD's own pay (one ~Rs 2.97 Cr FY26). (unclear)</w:t>
            </w:r>
          </w:p>
        </w:tc>
      </w:tr>
      <w:tr>
        <w:tc>
          <w:tcPr>
            <w:tcW w:type="dxa" w:w="3200"/>
            <w:shd w:fill="F2F2F2" w:val="clear"/>
          </w:tcPr>
          <w:p>
            <w:r>
              <w:rPr>
                <w:b/>
                <w:bCs/>
              </w:rPr>
              <w:t xml:space="preserve">Related-party trend</w:t>
            </w:r>
          </w:p>
        </w:tc>
        <w:tc>
          <w:tcPr>
            <w:tcW w:type="dxa" w:w="5800"/>
          </w:tcPr>
          <w:p>
            <w:r>
              <w:t xml:space="preserve">rising</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move up the value curve: ER&amp;D services -&gt; Design-Led Manufacturing of semiconductor/solar/aerospace capital equipment; ASM-HHV JV for vacuum/thin-film tools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27% (improving)</w:t>
            </w:r>
          </w:p>
        </w:tc>
      </w:tr>
      <w:tr>
        <w:tc>
          <w:tcPr>
            <w:tcW w:type="dxa" w:w="3200"/>
            <w:shd w:fill="F2F2F2" w:val="clear"/>
          </w:tcPr>
          <w:p>
            <w:r>
              <w:rPr>
                <w:b/>
                <w:bCs/>
              </w:rPr>
              <w:t xml:space="preserve">Leverage</w:t>
            </w:r>
          </w:p>
        </w:tc>
        <w:tc>
          <w:tcPr>
            <w:tcW w:type="dxa" w:w="5800"/>
          </w:tcPr>
          <w:p>
            <w:r>
              <w:t xml:space="preserve">Net debt/EBITDA 0.8x</w:t>
            </w:r>
          </w:p>
        </w:tc>
      </w:tr>
      <w:tr>
        <w:tc>
          <w:tcPr>
            <w:tcW w:type="dxa" w:w="3200"/>
            <w:shd w:fill="F2F2F2" w:val="clear"/>
          </w:tcPr>
          <w:p>
            <w:r>
              <w:rPr>
                <w:b/>
                <w:bCs/>
              </w:rPr>
              <w:t xml:space="preserve">FCF conversion</w:t>
            </w:r>
          </w:p>
        </w:tc>
        <w:tc>
          <w:tcPr>
            <w:tcW w:type="dxa" w:w="5800"/>
          </w:tcPr>
          <w:p>
            <w:r>
              <w:t xml:space="preserve">-50%</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unclear</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3 years (consistency_score 67)</w:t>
      </w:r>
    </w:p>
    <w:p>
      <w:pPr>
        <w:spacing w:after="120"/>
      </w:pPr>
      <w:r>
        <w:rPr>
          <w:color w:val="666666"/>
          <w:sz w:val="18"/>
          <w:szCs w:val="18"/>
        </w:rPr>
        <w:t xml:space="preserve">FY24-FY26 verifiable from the same filings. FY24: revenue -8% and a net loss (OPM 2.8%) -&gt; not cleared. FY25: revenue +43% and ROCE ~18-22% (OPM 16%) -&gt; cleared. FY26: revenue +83% and ROCE ~27% (OPM 19%) -&gt; cleared. 2 of 3 years cleared both tests, but only since the FY25 inflection -- a short, volatile history consistent with a recent step-change rather than a decade-long compounder.</w:t>
      </w:r>
    </w:p>
    <w:p>
      <w:pPr>
        <w:pStyle w:val="Heading1"/>
        <w:spacing w:after="120" w:before="280"/>
      </w:pPr>
      <w:r>
        <w:t xml:space="preserve">Technical Read (Weekly / Monthly MACD + Bollinger Bands, or RSI/CCI/Williams %R proxy)</w:t>
      </w:r>
    </w:p>
    <w:p>
      <w:pPr>
        <w:spacing w:after="120"/>
      </w:pPr>
      <w:r>
        <w:t xml:space="preserve">Not independently pulled. Community notes a &gt;50% correction from the early-2026 top before a partial recovery; some large holders reportedly exited.</w:t>
      </w:r>
    </w:p>
    <w:p>
      <w:pPr>
        <w:pStyle w:val="Heading1"/>
        <w:spacing w:after="120" w:before="280"/>
      </w:pPr>
      <w:r>
        <w:t xml:space="preserve">ValuePickr Community Signal</w:t>
      </w:r>
    </w:p>
    <w:p>
      <w:pPr>
        <w:spacing w:after="120"/>
      </w:pPr>
      <w:r>
        <w:t xml:space="preserve">Read the most recent ~40 of ~246 posts (topic 48012), Aug 2025–Aug 2026. Anchor bulls shanid (original 2020 poster) and ankit_george (low cost basis) supply detailed AGM/earnings notes and explain the ESDM-vs-DLM distinction. 34th AGM (Aug-2026) praised for 'much better execution clarity' and 2–3 year milestones. Bear/risk posts: Q3 FY26 'disappointing', technical breakdown / big-investor exits (tbhavesh), family remuneration (Avin).</w:t>
      </w:r>
    </w:p>
    <w:p>
      <w:pPr>
        <w:spacing w:after="120"/>
      </w:pPr>
      <w:r>
        <w:rPr>
          <w:b/>
          <w:bCs/>
          <w:sz w:val="20"/>
          <w:szCs w:val="20"/>
        </w:rPr>
        <w:t xml:space="preserve">High-conviction call from a top contributor: </w:t>
      </w:r>
      <w:r>
        <w:rPr>
          <w:sz w:val="20"/>
          <w:szCs w:val="20"/>
        </w:rPr>
        <w:t xml:space="preserve">tbhavesh (elevated trusted user) is active but technicals-driven and cautious/bearish through early 2026 — not a conviction buy. Thread anchors shanid and ankit_george are high-conviction long holders but are not on the trusted roster. No core-tier call. No formal high-conviction call logged.</w:t>
      </w:r>
    </w:p>
    <w:p>
      <w:pPr>
        <w:pStyle w:val="Heading1"/>
        <w:spacing w:after="120" w:before="280"/>
      </w:pPr>
      <w:r>
        <w:t xml:space="preserve">BSE Corporate Actions / Other Red Flags</w:t>
      </w:r>
    </w:p>
    <w:p>
      <w:pPr>
        <w:spacing w:after="120"/>
      </w:pPr>
      <w:r>
        <w:t xml:space="preserve">Not independently checked. Governance watch-items: promoter-family (MD's sons) remuneration is high relative to roles and to the MD's own pay. No SEBI action identified; promoter holding is not collapsing.</w:t>
      </w:r>
    </w:p>
    <w:p>
      <w:pPr>
        <w:pStyle w:val="Heading1"/>
        <w:spacing w:after="120" w:before="280"/>
      </w:pPr>
      <w:r>
        <w:t xml:space="preserve">Bull Case</w:t>
      </w:r>
    </w:p>
    <w:p>
      <w:pPr>
        <w:pStyle w:val="ListParagraph"/>
        <w:numPr>
          <w:ilvl w:val="0"/>
          <w:numId w:val="1"/>
        </w:numPr>
        <w:spacing w:after="60"/>
      </w:pPr>
      <w:r>
        <w:t xml:space="preserve">Genuine, cash-backed revenue step-change: Rs 202 -&gt; 529 Cr FY24-26, Q1 FY27 +62% YoY, EBITDA margin ~3% -&gt; ~23%, operating cash flow turned positive (Rs 68 Cr FY26)</w:t>
      </w:r>
    </w:p>
    <w:p>
      <w:pPr>
        <w:pStyle w:val="ListParagraph"/>
        <w:numPr>
          <w:ilvl w:val="0"/>
          <w:numId w:val="1"/>
        </w:numPr>
        <w:spacing w:after="60"/>
      </w:pPr>
      <w:r>
        <w:t xml:space="preserve">DLM for semiconductor/solar capital equipment (now 73.6% of revenue) + ECMS Capital-Goods grants (~Rs 565 Cr capex) + a new 50:50 ASM-HHV JV -- a specific, timely policy-backed catalyst</w:t>
      </w:r>
    </w:p>
    <w:p>
      <w:pPr>
        <w:pStyle w:val="ListParagraph"/>
        <w:numPr>
          <w:ilvl w:val="0"/>
          <w:numId w:val="1"/>
        </w:numPr>
        <w:spacing w:after="60"/>
      </w:pPr>
      <w:r>
        <w:t xml:space="preserve">~27% ROCE / ~25% ROE with a real order pipeline and a capability stack assembled (HHV, Forms &amp; Gears, Myelin edge-AI, Asmaitha)</w:t>
      </w:r>
    </w:p>
    <w:p>
      <w:pPr>
        <w:pStyle w:val="ListParagraph"/>
        <w:numPr>
          <w:ilvl w:val="0"/>
          <w:numId w:val="1"/>
        </w:numPr>
        <w:spacing w:after="60"/>
      </w:pPr>
      <w:r>
        <w:t xml:space="preserve">34th AGM (Aug 2026) praised by long-term holders for clearer execution roadmap and 2-3 year milestones</w:t>
      </w:r>
    </w:p>
    <w:p>
      <w:pPr>
        <w:pStyle w:val="ListParagraph"/>
        <w:numPr>
          <w:ilvl w:val="0"/>
          <w:numId w:val="1"/>
        </w:numPr>
        <w:spacing w:after="60"/>
      </w:pPr>
      <w:r>
        <w:t xml:space="preserve">Pays a dividend (Rs 6 interim) despite the growth phase</w:t>
      </w:r>
    </w:p>
    <w:p>
      <w:pPr>
        <w:pStyle w:val="Heading1"/>
        <w:spacing w:after="120" w:before="280"/>
      </w:pPr>
      <w:r>
        <w:t xml:space="preserve">Bear Case / Key Risks</w:t>
      </w:r>
    </w:p>
    <w:p>
      <w:pPr>
        <w:pStyle w:val="ListParagraph"/>
        <w:numPr>
          <w:ilvl w:val="0"/>
          <w:numId w:val="1"/>
        </w:numPr>
        <w:spacing w:after="60"/>
      </w:pPr>
      <w:r>
        <w:t xml:space="preserve">~127x earnings and ~30x book after a ~100x re-rating from 2020 lows -- the valuation prices many years of flawless 50%+ compounding; market_expectation gap_direction over-optimistic</w:t>
      </w:r>
    </w:p>
    <w:p>
      <w:pPr>
        <w:pStyle w:val="ListParagraph"/>
        <w:numPr>
          <w:ilvl w:val="0"/>
          <w:numId w:val="1"/>
        </w:numPr>
        <w:spacing w:after="60"/>
      </w:pPr>
      <w:r>
        <w:t xml:space="preserve">Execution is not linear: Q3 FY26 disappointed bulls, and new-ERP + overseas-subsidiary operational problems were flagged in Q1 FY27</w:t>
      </w:r>
    </w:p>
    <w:p>
      <w:pPr>
        <w:pStyle w:val="ListParagraph"/>
        <w:numPr>
          <w:ilvl w:val="0"/>
          <w:numId w:val="1"/>
        </w:numPr>
        <w:spacing w:after="60"/>
      </w:pPr>
      <w:r>
        <w:t xml:space="preserve">Large capex phase underway (new plants, ECMS plan) with unproven asset turns -- free cash flow is negative despite positive operating cash flow</w:t>
      </w:r>
    </w:p>
    <w:p>
      <w:pPr>
        <w:pStyle w:val="ListParagraph"/>
        <w:numPr>
          <w:ilvl w:val="0"/>
          <w:numId w:val="1"/>
        </w:numPr>
        <w:spacing w:after="60"/>
      </w:pPr>
      <w:r>
        <w:t xml:space="preserve">Governance: MD's sons' remuneration is high relative to role and to the MD's own pay (one paid ~Rs 2.97 Cr FY26)</w:t>
      </w:r>
    </w:p>
    <w:p>
      <w:pPr>
        <w:pStyle w:val="ListParagraph"/>
        <w:numPr>
          <w:ilvl w:val="0"/>
          <w:numId w:val="1"/>
        </w:numPr>
        <w:spacing w:after="60"/>
      </w:pPr>
      <w:r>
        <w:t xml:space="preserve">At ~Rs 9,256 Cr, a literal 10x needs PAT from ~Rs 61 Cr to ~Rs 600 Cr -- only on multi-year, flawless semiconductor-DLM execution</w:t>
      </w:r>
    </w:p>
    <w:p>
      <w:pPr>
        <w:pStyle w:val="ListParagraph"/>
        <w:numPr>
          <w:ilvl w:val="0"/>
          <w:numId w:val="1"/>
        </w:numPr>
        <w:spacing w:after="60"/>
      </w:pPr>
      <w:r>
        <w:t xml:space="preserve">Small revenue base with lumpy project revenue; the ~23% margin is not yet demonstrated as a through-cycle level</w:t>
      </w:r>
    </w:p>
    <w:p>
      <w:pPr>
        <w:pStyle w:val="Heading1"/>
        <w:spacing w:after="120" w:before="280"/>
      </w:pPr>
      <w:r>
        <w:t xml:space="preserve">Market-Cap Tier (informational — not a gate in this project)</w:t>
      </w:r>
    </w:p>
    <w:p>
      <w:pPr>
        <w:spacing w:after="120"/>
      </w:pPr>
      <w:r>
        <w:rPr>
          <w:b/>
          <w:bCs/>
        </w:rPr>
        <w:t xml:space="preserve">Small/Mid-cap (~Rs 9,256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no  (score 2.5 / 4)</w:t>
      </w:r>
    </w:p>
    <w:p>
      <w:pPr>
        <w:spacing w:after="120"/>
      </w:pPr>
      <w:r>
        <w:rPr>
          <w:i/>
          <w:iCs/>
          <w:color w:val="666666"/>
          <w:sz w:val="20"/>
          <w:szCs w:val="20"/>
        </w:rPr>
        <w:t xml:space="preserve">Tailwind yes: semiconductor/solar capital-equipment localization + ECMS Capital-Goods policy is a real, government-backed structural driver. Tam yes via the recent-inflection rule: DLM step-change (Q1 FY27 +62% YoY) off a tiny Rs 529 Cr base against a large equipment TAM. Moat weak: HHV JV + Forms &amp; Gears + Myelin + Asmaitha capability stack is assembled but unproven, and new-plant asset turns are not yet demonstrated. Valuation no: ~127x earnings and ~30x book after a ~100x re-rating leaves no margin of safety. Score 2.5 with valuation 'no' -&gt; 10x label allowed only via the written un-ignorable-growth exception, conviction caps at Medium (unconfirmed).</w:t>
      </w:r>
    </w:p>
    <w:p>
      <w:pPr>
        <w:pStyle w:val="Heading1"/>
        <w:spacing w:after="120" w:before="280"/>
      </w:pPr>
      <w:r>
        <w:t xml:space="preserve">Verdict</w:t>
      </w:r>
    </w:p>
    <w:p>
      <w:pPr>
        <w:spacing w:after="120"/>
      </w:pPr>
      <w:r>
        <w:rPr>
          <w:b/>
          <w:bCs/>
          <w:sz w:val="24"/>
          <w:szCs w:val="24"/>
        </w:rPr>
        <w:t xml:space="preserve">Real, cash-backed inflection into semiconductor-equipment DLM with a credible ECMS catalyst keeps it on the 10x map (unconfirmed) -- but ~127x earnings / ~30x book, unproven new-plant asset turns and family-remuneration flags cap conviction at Medium</w:t>
      </w:r>
    </w:p>
    <w:p>
      <w:pPr>
        <w:pStyle w:val="ListParagraph"/>
        <w:numPr>
          <w:ilvl w:val="0"/>
          <w:numId w:val="1"/>
        </w:numPr>
        <w:spacing w:after="60"/>
      </w:pPr>
      <w:r>
        <w:t xml:space="preserve">Recent-inflection rule + phreak's un-ignorable-growth carve-out (written exception): a small/mid-cap with a structural revenue step-change (Rs 202 -&gt; 529 Cr FY24-26, Q1 FY27 +62% YoY, EBITDA margin ~3% -&gt; ~23%, CFO positive) and a specific policy-backed catalyst (semiconductor/solar DLM + ECMS Capital-Goods grants + ASM-HHV JV) -&gt; 10x-in-2-3-years permitted despite four_box score 2.5, tagged unconfirmed</w:t>
      </w:r>
    </w:p>
    <w:p>
      <w:pPr>
        <w:pStyle w:val="ListParagraph"/>
        <w:numPr>
          <w:ilvl w:val="0"/>
          <w:numId w:val="1"/>
        </w:numPr>
        <w:spacing w:after="60"/>
      </w:pPr>
      <w:r>
        <w:t xml:space="preserve">four_box score 2.5: tailwind + tam yes (semicon-equipment localization, tiny base vs the TAM); moat weak (capability stack assembled but unproven); valuation 'no' (~127x earnings, ~30x book after a ~100x re-rating)</w:t>
      </w:r>
    </w:p>
    <w:p>
      <w:pPr>
        <w:pStyle w:val="ListParagraph"/>
        <w:numPr>
          <w:ilvl w:val="0"/>
          <w:numId w:val="1"/>
        </w:numPr>
        <w:spacing w:after="60"/>
      </w:pPr>
      <w:r>
        <w:t xml:space="preserve">Conviction capped at Medium: the multiple has run even harder since the prior pass (mcap Rs 6,739 -&gt; 9,256 Cr), Q3 FY26 wobbled, ERP/overseas-subsidiary problems surfaced, new-plant asset turns are unproven, and the MD's-sons remuneration flag persists</w:t>
      </w:r>
    </w:p>
    <w:p>
      <w:pPr>
        <w:pStyle w:val="ListParagraph"/>
        <w:numPr>
          <w:ilvl w:val="0"/>
          <w:numId w:val="1"/>
        </w:numPr>
        <w:spacing w:after="60"/>
      </w:pPr>
      <w:r>
        <w:t xml:space="preserve">No red-flag tier (governance is a soft narrative concern, not a promoter-holding collapse or SEBI action; promoter holding 57.65%, no significant pledge)</w:t>
      </w:r>
    </w:p>
    <w:p>
      <w:pPr>
        <w:pStyle w:val="ListParagraph"/>
        <w:numPr>
          <w:ilvl w:val="0"/>
          <w:numId w:val="1"/>
        </w:numPr>
        <w:spacing w:after="60"/>
      </w:pPr>
      <w:r>
        <w:t xml:space="preserve">Revisit after 1-2 quarters to see whether new-plant utilisation and the DLM/semiconductor order book validate the re-rating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2026-09-08T14:32:21.537Z</dcterms:created>
  <dcterms:modified xsi:type="dcterms:W3CDTF">2026-09-08T14:32:21.541Z</dcterms:modified>
</cp:coreProperties>
</file>

<file path=docProps/custom.xml><?xml version="1.0" encoding="utf-8"?>
<Properties xmlns="http://schemas.openxmlformats.org/officeDocument/2006/custom-properties" xmlns:vt="http://schemas.openxmlformats.org/officeDocument/2006/docPropsVTypes"/>
</file>