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Alembic Pharmaceuticals Ltd</w:t>
      </w:r>
    </w:p>
    <w:p>
      <w:pPr>
        <w:pBdr>
          <w:bottom w:val="single" w:color="CCCCCC" w:sz="6" w:space="8"/>
        </w:pBdr>
        <w:spacing w:after="200"/>
      </w:pPr>
      <w:r>
        <w:rPr>
          <w:i/>
          <w:iCs/>
          <w:color w:val="666666"/>
          <w:sz w:val="22"/>
          <w:szCs w:val="22"/>
        </w:rPr>
        <w:t xml:space="preserve">A mid-cap pharma with a historically cyclical US business now showing a real Q1 FY27 inflection (+49% YoY), on top of a genuinely secular non-US growth engine tracked in exhaustive detail by a trusted user</w:t>
      </w:r>
    </w:p>
    <w:p>
      <w:pPr>
        <w:pStyle w:val="Heading1"/>
        <w:spacing w:after="120" w:before="280"/>
      </w:pPr>
      <w:r>
        <w:t xml:space="preserve">Business Overview</w:t>
      </w:r>
    </w:p>
    <w:p>
      <w:pPr>
        <w:spacing w:after="120"/>
      </w:pPr>
      <w:r>
        <w:t xml:space="preserve">Alembic Pharma spans oral solids, injectables (general and oncology), dermatology, ophthalmology, and API manufacturing across 9 facilities, with a growing domestic branded-generics franchise (5,200+ medical reps, new Gynac/Cardiac divisions), a fast-growing animal healthcare segment (~24% CAGR over recent years), and a US generics business that management itself describes as prone to 'bouts of good growth followed by stagnation.'</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15,900 Cr (price ~Rs 808, Sep 2026); P/E ~21x</w:t>
            </w:r>
          </w:p>
        </w:tc>
      </w:tr>
      <w:tr>
        <w:tc>
          <w:tcPr>
            <w:tcW w:type="dxa" w:w="3200"/>
            <w:shd w:fill="F2F2F2" w:val="clear"/>
          </w:tcPr>
          <w:p>
            <w:r>
              <w:rPr>
                <w:b/>
                <w:bCs/>
              </w:rPr>
              <w:t xml:space="preserve">52-week range</w:t>
            </w:r>
          </w:p>
        </w:tc>
        <w:tc>
          <w:tcPr>
            <w:tcW w:type="dxa" w:w="5800"/>
          </w:tcPr>
          <w:p>
            <w:r>
              <w:t xml:space="preserve">Rs 635.80 - Rs 1,002.00</w:t>
            </w:r>
          </w:p>
        </w:tc>
      </w:tr>
      <w:tr>
        <w:tc>
          <w:tcPr>
            <w:tcW w:type="dxa" w:w="3200"/>
            <w:shd w:fill="F2F2F2" w:val="clear"/>
          </w:tcPr>
          <w:p>
            <w:r>
              <w:rPr>
                <w:b/>
                <w:bCs/>
              </w:rPr>
              <w:t xml:space="preserve">ROCE / ROE (FY26)</w:t>
            </w:r>
          </w:p>
        </w:tc>
        <w:tc>
          <w:tcPr>
            <w:tcW w:type="dxa" w:w="5800"/>
          </w:tcPr>
          <w:p>
            <w:r>
              <w:t xml:space="preserve">ROCE ~13% (3-yr ~13%) / ROE ~13.4% - flat and below the &gt;=15% bar</w:t>
            </w:r>
          </w:p>
        </w:tc>
      </w:tr>
      <w:tr>
        <w:tc>
          <w:tcPr>
            <w:tcW w:type="dxa" w:w="3200"/>
            <w:shd w:fill="F2F2F2" w:val="clear"/>
          </w:tcPr>
          <w:p>
            <w:r>
              <w:rPr>
                <w:b/>
                <w:bCs/>
              </w:rPr>
              <w:t xml:space="preserve">Growth (5-yr CAGR)</w:t>
            </w:r>
          </w:p>
        </w:tc>
        <w:tc>
          <w:tcPr>
            <w:tcW w:type="dxa" w:w="5800"/>
          </w:tcPr>
          <w:p>
            <w:r>
              <w:t xml:space="preserve">Sales ~6%; profit ~-9% (poor)</w:t>
            </w:r>
          </w:p>
        </w:tc>
      </w:tr>
      <w:tr>
        <w:tc>
          <w:tcPr>
            <w:tcW w:type="dxa" w:w="3200"/>
            <w:shd w:fill="F2F2F2" w:val="clear"/>
          </w:tcPr>
          <w:p>
            <w:r>
              <w:rPr>
                <w:b/>
                <w:bCs/>
              </w:rPr>
              <w:t xml:space="preserve">FY26 / debt</w:t>
            </w:r>
          </w:p>
        </w:tc>
        <w:tc>
          <w:tcPr>
            <w:tcW w:type="dxa" w:w="5800"/>
          </w:tcPr>
          <w:p>
            <w:r>
              <w:t xml:space="preserve">FY26 revenue Rs 7,345 Cr (+10%), PAT Rs 671 Cr; gross borrowings Rs 1,430 Cr (up from Rs 1,258 Cr); FY26 CFO Rs 783 Cr; dividend payout ~35%</w:t>
            </w:r>
          </w:p>
        </w:tc>
      </w:tr>
      <w:tr>
        <w:tc>
          <w:tcPr>
            <w:tcW w:type="dxa" w:w="3200"/>
            <w:shd w:fill="F2F2F2" w:val="clear"/>
          </w:tcPr>
          <w:p>
            <w:r>
              <w:rPr>
                <w:b/>
                <w:bCs/>
              </w:rPr>
              <w:t xml:space="preserve">Q1 FY27 (Jun 2026)</w:t>
            </w:r>
          </w:p>
        </w:tc>
        <w:tc>
          <w:tcPr>
            <w:tcW w:type="dxa" w:w="5800"/>
          </w:tcPr>
          <w:p>
            <w:r>
              <w:t xml:space="preserve">Revenue +25.66% YoY to Rs 2,150 Cr; PAT +12.01% to Rs 175 Cr; US Formulations +49% YoY (Rs 523 Cr → Rs 778 Cr)</w:t>
            </w:r>
          </w:p>
        </w:tc>
      </w:tr>
    </w:tbl>
    <w:p>
      <w:pPr>
        <w:spacing w:after="100"/>
      </w:pPr>
    </w:p>
    <w:p>
      <w:pPr>
        <w:spacing w:after="120"/>
      </w:pPr>
      <w:r>
        <w:t xml:space="preserve">Trailing quality metrics are moderate rather than exceptional — ROE (12.7% 3-yr) and ROCE (14.66%) both trail peers like Ajanta Pharma in this same batch, and 5-year sales growth has been poor (6.37%), largely reflecting a choppy US business under sustained pricing pressure. However, Q1 FY27 (quarter ended June 2026) shows a real, specific inflection: consolidated revenue +25.66% YoY, EBITDA pre-R&amp;D margin at 24%, and — most notably — the US Formulations segment (the exact segment harsh.beria93's multi-year notes had flagged as 'cyclical/stagnant') surged 49% YoY to Rs 778 Cr, with management upgrading FY27 revenue guidance to mid-teens. This is one quarter of data, not yet a confirmed new trend, but it directly updates the trailing narrative rather than just restating it. Gross borrowings have also risen (Rs 589 Cr from Rs 430 Cr) to fund ongoing capex (new Pithampur facility, peptide-manufacturing API block).</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2026-09-08.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screener.in/company/APLLTD/consolidated - mcap Rs 15,891 Cr, price Rs 808, P/E 21.3; FY24 rev Rs 6,229 Cr / PAT Rs 616 Cr, FY25 Rs 6,672 Cr / Rs 582 Cr, FY26 Rs 7,345 Cr / Rs 671 Cr; ROCE 13% (3yr 13%), ROE 13.4% (3yr 12.7%); 5yr sales CAGR 6%, profit CAGR -9%; borrowings Rs 1,258 Cr FY25 -&gt; Rs 1,430 Cr FY26; FY26 CFO Rs 783 Cr vs EBITDA ~Rs 1,121 Cr; promoter 69.87%, no pledge; dividend yield 1.48%, payout 35%</w:t>
      </w:r>
    </w:p>
    <w:p>
      <w:pPr>
        <w:pStyle w:val="ListParagraph"/>
        <w:numPr>
          <w:ilvl w:val="0"/>
          <w:numId w:val="1"/>
        </w:numPr>
        <w:spacing w:after="60"/>
      </w:pPr>
      <w:r>
        <w:t xml:space="preserve">Alembic Q1 FY27 results / investor slides (investing.com, indianpharmapost, Business Standard, sahi.com) - consol revenue Rs 2,150 Cr (+26% YoY), PAT Rs 173 Cr (+12%), US formulations Rs 778 Cr (+49%) on 7 launches incl. bosutinib (limited-competition onco); gross debt ~Rs 1,600 Cr at 30-Jun-2026</w:t>
      </w:r>
    </w:p>
    <w:p>
      <w:pPr>
        <w:pStyle w:val="ListParagraph"/>
        <w:numPr>
          <w:ilvl w:val="0"/>
          <w:numId w:val="1"/>
        </w:numPr>
        <w:spacing w:after="60"/>
      </w:pPr>
      <w:r>
        <w:t xml:space="preserve">Q1 FY27 concall / analyst notes (Informist, Whalesbook, Yahoo) - FY27 US generics guidance raised low-teens -&gt; mid-to-high teens; company growth outlook low-double-digit -&gt; ~mid-teens; 15+ US launches targeted in FY27</w:t>
      </w:r>
    </w:p>
    <w:p>
      <w:pPr>
        <w:pStyle w:val="ListParagraph"/>
        <w:numPr>
          <w:ilvl w:val="0"/>
          <w:numId w:val="1"/>
        </w:numPr>
        <w:spacing w:after="60"/>
      </w:pPr>
      <w:r>
        <w:t xml:space="preserve">prior VP-thread synthesis - harsh.beria93 (elevated) multi-year facility/concall notes; his decade summary: 'US has seen bouts of good growth followed by stagnation; non-US the most secular growth driver'; ranvir, Rafi_Syed realistic quarterly updates; Vijay_Kiran's queueing signal a modest ~1.0% portfolio weight</w:t>
      </w:r>
    </w:p>
    <w:p>
      <w:pPr>
        <w:pStyle w:val="ListParagraph"/>
        <w:numPr>
          <w:ilvl w:val="0"/>
          <w:numId w:val="1"/>
        </w:numPr>
        <w:spacing w:after="60"/>
      </w:pPr>
      <w:r>
        <w:t xml:space="preserve">FY26 quarterly series (screener): Q1 1,770/157, Q2 1,910/184, Q3 1,876/132, Q4 1,848/202 (Rs Cr rev/PAT)</w:t>
      </w:r>
    </w:p>
    <w:p>
      <w:pPr>
        <w:spacing w:after="120"/>
      </w:pPr>
      <w:r>
        <w:rPr>
          <w:b/>
          <w:bCs/>
          <w:sz w:val="20"/>
          <w:szCs w:val="20"/>
        </w:rPr>
        <w:t xml:space="preserve">Annual-report findings (3-year view):</w:t>
      </w:r>
    </w:p>
    <w:p>
      <w:pPr>
        <w:pStyle w:val="ListParagraph"/>
        <w:numPr>
          <w:ilvl w:val="0"/>
          <w:numId w:val="1"/>
        </w:numPr>
        <w:spacing w:after="60"/>
      </w:pPr>
      <w:r>
        <w:t xml:space="preserve">FY26 revenue Rs 7,345 Cr (+10%), PAT Rs 671 Cr (+15% off a weak FY25) - a modest recovery year; 5-yr profit CAGR is still -9%</w:t>
      </w:r>
    </w:p>
    <w:p>
      <w:pPr>
        <w:pStyle w:val="ListParagraph"/>
        <w:numPr>
          <w:ilvl w:val="0"/>
          <w:numId w:val="1"/>
        </w:numPr>
        <w:spacing w:after="60"/>
      </w:pPr>
      <w:r>
        <w:t xml:space="preserve">Returns structurally sub-bar: ROCE ~13%, ROE ~13.4%, roughly flat over 3 years - below peers like Ajanta in the same batch</w:t>
      </w:r>
    </w:p>
    <w:p>
      <w:pPr>
        <w:pStyle w:val="ListParagraph"/>
        <w:numPr>
          <w:ilvl w:val="0"/>
          <w:numId w:val="1"/>
        </w:numPr>
        <w:spacing w:after="60"/>
      </w:pPr>
      <w:r>
        <w:t xml:space="preserve">Gross borrowings rising (Rs 1,258 Cr -&gt; Rs 1,430 Cr; ~Rs 1,600 Cr at 30-Jun-2026) to fund capex - new Pithampur facility and a peptide-manufacturing API block</w:t>
      </w:r>
    </w:p>
    <w:p>
      <w:pPr>
        <w:pStyle w:val="ListParagraph"/>
        <w:numPr>
          <w:ilvl w:val="0"/>
          <w:numId w:val="1"/>
        </w:numPr>
        <w:spacing w:after="60"/>
      </w:pPr>
      <w:r>
        <w:t xml:space="preserve">FY26 operating cash flow Rs 783 Cr against ~Rs 1,121 Cr EBITDA (~70% conversion) - acceptable, not strong; capex is absorbing it</w:t>
      </w:r>
    </w:p>
    <w:p>
      <w:pPr>
        <w:pStyle w:val="ListParagraph"/>
        <w:numPr>
          <w:ilvl w:val="0"/>
          <w:numId w:val="1"/>
        </w:numPr>
        <w:spacing w:after="60"/>
      </w:pPr>
      <w:r>
        <w:t xml:space="preserve">Consistent shareholder returns: FY26 dividend payout ~35%, yield ~1.5%</w:t>
      </w:r>
    </w:p>
    <w:p>
      <w:pPr>
        <w:pStyle w:val="ListParagraph"/>
        <w:numPr>
          <w:ilvl w:val="0"/>
          <w:numId w:val="1"/>
        </w:numPr>
        <w:spacing w:after="60"/>
      </w:pPr>
      <w:r>
        <w:t xml:space="preserve">Promoter holding 69.87%, no pledge; no SEBI/regulatory action; a past Q1 FY25 API decline was an external customer issue, not Alembic-specific</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FY26 quarters were choppy (PAT Rs 157 -&gt; 184 -&gt; 132 -&gt; 202 Cr) on US pricing and R&amp;D phasing</w:t>
      </w:r>
    </w:p>
    <w:p>
      <w:pPr>
        <w:pStyle w:val="ListParagraph"/>
        <w:numPr>
          <w:ilvl w:val="0"/>
          <w:numId w:val="1"/>
        </w:numPr>
        <w:spacing w:after="60"/>
      </w:pPr>
      <w:r>
        <w:t xml:space="preserve">Q1 FY27: revenue Rs 2,150 Cr (+26% YoY), PAT Rs 173 Cr (+12%), US formulations Rs 778 Cr (+49%) on 7 launches incl. limited-competition bosutinib</w:t>
      </w:r>
    </w:p>
    <w:p>
      <w:pPr>
        <w:pStyle w:val="ListParagraph"/>
        <w:numPr>
          <w:ilvl w:val="0"/>
          <w:numId w:val="1"/>
        </w:numPr>
        <w:spacing w:after="60"/>
      </w:pPr>
      <w:r>
        <w:t xml:space="preserve">PAT growth (+12%) lagged revenue (+26%) - R&amp;D and US launch costs; margin did not expand</w:t>
      </w:r>
    </w:p>
    <w:p>
      <w:pPr>
        <w:pStyle w:val="ListParagraph"/>
        <w:numPr>
          <w:ilvl w:val="0"/>
          <w:numId w:val="1"/>
        </w:numPr>
        <w:spacing w:after="60"/>
      </w:pPr>
      <w:r>
        <w:t xml:space="preserve">One quarter of inflection; the trusted multi-year read says US growth comes in bouts followed by stagnation</w:t>
      </w:r>
    </w:p>
    <w:p>
      <w:pPr>
        <w:spacing w:after="120"/>
      </w:pPr>
      <w:r>
        <w:rPr>
          <w:b/>
          <w:bCs/>
          <w:sz w:val="20"/>
          <w:szCs w:val="20"/>
        </w:rPr>
        <w:t xml:space="preserve">Exchange announcements (last 6 months):</w:t>
      </w:r>
    </w:p>
    <w:p>
      <w:pPr>
        <w:pStyle w:val="ListParagraph"/>
        <w:numPr>
          <w:ilvl w:val="0"/>
          <w:numId w:val="1"/>
        </w:numPr>
        <w:spacing w:after="60"/>
      </w:pPr>
      <w:r>
        <w:t xml:space="preserve">Q1 FY27 results (04-Aug-2026) and investor presentation</w:t>
      </w:r>
    </w:p>
    <w:p>
      <w:pPr>
        <w:pStyle w:val="ListParagraph"/>
        <w:numPr>
          <w:ilvl w:val="0"/>
          <w:numId w:val="1"/>
        </w:numPr>
        <w:spacing w:after="60"/>
      </w:pPr>
      <w:r>
        <w:t xml:space="preserve">FY27 guidance raised: US generics low-teens -&gt; mid-to-high teens; company growth -&gt; ~mid-teens; 15+ US launches planned</w:t>
      </w:r>
    </w:p>
    <w:p>
      <w:pPr>
        <w:pStyle w:val="ListParagraph"/>
        <w:numPr>
          <w:ilvl w:val="0"/>
          <w:numId w:val="1"/>
        </w:numPr>
        <w:spacing w:after="60"/>
      </w:pPr>
      <w:r>
        <w:t xml:space="preserve">Ongoing capex - Pithampur facility, peptide API block</w:t>
      </w:r>
    </w:p>
    <w:p>
      <w:pPr>
        <w:pStyle w:val="ListParagraph"/>
        <w:numPr>
          <w:ilvl w:val="0"/>
          <w:numId w:val="1"/>
        </w:numPr>
        <w:spacing w:after="60"/>
      </w:pPr>
      <w:r>
        <w:t xml:space="preserve">Nothing material on pledge, auditor or KMP</w:t>
      </w:r>
    </w:p>
    <w:p>
      <w:pPr>
        <w:spacing w:after="120"/>
      </w:pPr>
      <w:r>
        <w:rPr>
          <w:b/>
          <w:bCs/>
          <w:sz w:val="20"/>
          <w:szCs w:val="20"/>
        </w:rPr>
        <w:t xml:space="preserve">Key new facts vs. the prior write-up:</w:t>
      </w:r>
    </w:p>
    <w:p>
      <w:pPr>
        <w:pStyle w:val="ListParagraph"/>
        <w:numPr>
          <w:ilvl w:val="0"/>
          <w:numId w:val="1"/>
        </w:numPr>
        <w:spacing w:after="60"/>
      </w:pPr>
      <w:r>
        <w:t xml:space="preserve">US formulations +49% YoY in Q1 FY27 - a real inflection in the exact segment the trusted tracker had flagged as weak - but partly on a limited-competition product (bosutinib) and one quarter only</w:t>
      </w:r>
    </w:p>
    <w:p>
      <w:pPr>
        <w:pStyle w:val="ListParagraph"/>
        <w:numPr>
          <w:ilvl w:val="0"/>
          <w:numId w:val="1"/>
        </w:numPr>
        <w:spacing w:after="60"/>
      </w:pPr>
      <w:r>
        <w:t xml:space="preserve">Management raised FY27 guidance twice-over (US and company-level)</w:t>
      </w:r>
    </w:p>
    <w:p>
      <w:pPr>
        <w:pStyle w:val="ListParagraph"/>
        <w:numPr>
          <w:ilvl w:val="0"/>
          <w:numId w:val="1"/>
        </w:numPr>
        <w:spacing w:after="60"/>
      </w:pPr>
      <w:r>
        <w:t xml:space="preserve">Trailing quality unchanged and sub-bar: ROCE ~13%, 5-yr profit CAGR -9%</w:t>
      </w:r>
    </w:p>
    <w:p>
      <w:pPr>
        <w:pStyle w:val="ListParagraph"/>
        <w:numPr>
          <w:ilvl w:val="0"/>
          <w:numId w:val="1"/>
        </w:numPr>
        <w:spacing w:after="60"/>
      </w:pPr>
      <w:r>
        <w:t xml:space="preserve">Gross debt rising to fund capex; FY26 cash conversion ~70% of EBITDA</w:t>
      </w:r>
    </w:p>
    <w:p>
      <w:pPr>
        <w:spacing w:after="120"/>
      </w:pPr>
      <w:r>
        <w:rPr>
          <w:b/>
          <w:bCs/>
          <w:sz w:val="20"/>
          <w:szCs w:val="20"/>
        </w:rPr>
        <w:t xml:space="preserve">Open questions / what to watch:</w:t>
      </w:r>
    </w:p>
    <w:p>
      <w:pPr>
        <w:pStyle w:val="ListParagraph"/>
        <w:numPr>
          <w:ilvl w:val="0"/>
          <w:numId w:val="1"/>
        </w:numPr>
        <w:spacing w:after="60"/>
      </w:pPr>
      <w:r>
        <w:t xml:space="preserve">Does the US inflection persist into Q2/H2 FY27, or is it a bosutinib + launch-timing bounce that fades (the historical pattern)?</w:t>
      </w:r>
    </w:p>
    <w:p>
      <w:pPr>
        <w:pStyle w:val="ListParagraph"/>
        <w:numPr>
          <w:ilvl w:val="0"/>
          <w:numId w:val="1"/>
        </w:numPr>
        <w:spacing w:after="60"/>
      </w:pPr>
      <w:r>
        <w:t xml:space="preserve">Do the 15+ planned US launches include enough limited-competition products to hold the mid-to-high-teens guide?</w:t>
      </w:r>
    </w:p>
    <w:p>
      <w:pPr>
        <w:pStyle w:val="ListParagraph"/>
        <w:numPr>
          <w:ilvl w:val="0"/>
          <w:numId w:val="1"/>
        </w:numPr>
        <w:spacing w:after="60"/>
      </w:pPr>
      <w:r>
        <w:t xml:space="preserve">When does ROCE move above the low-teens - does the Pithampur / peptide capex earn its cost of capital?</w:t>
      </w:r>
    </w:p>
    <w:p>
      <w:pPr>
        <w:pStyle w:val="ListParagraph"/>
        <w:numPr>
          <w:ilvl w:val="0"/>
          <w:numId w:val="1"/>
        </w:numPr>
        <w:spacing w:after="60"/>
      </w:pPr>
      <w:r>
        <w:t xml:space="preserve">How much of Q1 FY27's US strength is price vs volume vs one-off limited-competition windows?</w:t>
      </w:r>
    </w:p>
    <w:p>
      <w:pPr>
        <w:spacing w:after="120" w:before="120"/>
      </w:pPr>
      <w:r>
        <w:rPr>
          <w:b/>
          <w:bCs/>
          <w:sz w:val="20"/>
          <w:szCs w:val="20"/>
        </w:rPr>
        <w:t xml:space="preserve">Conviction impact: </w:t>
      </w:r>
      <w:r>
        <w:rPr>
          <w:sz w:val="20"/>
          <w:szCs w:val="20"/>
        </w:rPr>
        <w:t xml:space="preserve">Medium -&gt; Medium. A real, specific Q1 FY27 US inflection (formulations +49%, guidance raised) on top of a genuinely secular non-US franchise and consistent dividends - but a mid-cap growing mid-teens at ~13% ROCE with a -9% 5-yr profit CAGR and a historically cyclical US flagship is not a 10x candidate (thesis_fit re-derived to 'neither' on size math); conviction held at Medium pending Q2 FY27 confirmation.</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Launch 15+ new US products in FY27</w:t>
            </w:r>
          </w:p>
        </w:tc>
        <w:tc>
          <w:tcPr>
            <w:tcW w:type="dxa" w:w="2400"/>
          </w:tcPr>
          <w:p>
            <w:r>
              <w:rPr>
                <w:b w:val="false"/>
                <w:bCs w:val="false"/>
                <w:sz w:val="18"/>
                <w:szCs w:val="18"/>
              </w:rPr>
              <w:t xml:space="preserve">7 launched in Q1 FY27; pipeline across OSD, injectables, onco, derma, ophthalmic</w:t>
            </w:r>
          </w:p>
        </w:tc>
        <w:tc>
          <w:tcPr>
            <w:tcW w:type="dxa" w:w="900"/>
          </w:tcPr>
          <w:p>
            <w:r>
              <w:rPr>
                <w:b w:val="false"/>
                <w:bCs w:val="false"/>
                <w:sz w:val="18"/>
                <w:szCs w:val="18"/>
              </w:rPr>
              <w:t xml:space="preserve">FY27</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FY27 company growth ~mid-teens; US generics mid-to-high teens</w:t>
            </w:r>
          </w:p>
        </w:tc>
        <w:tc>
          <w:tcPr>
            <w:tcW w:type="dxa" w:w="2400"/>
          </w:tcPr>
          <w:p>
            <w:r>
              <w:rPr>
                <w:b w:val="false"/>
                <w:bCs w:val="false"/>
                <w:sz w:val="18"/>
                <w:szCs w:val="18"/>
              </w:rPr>
              <w:t xml:space="preserve">raised from low-double-digit / low-teens after Q1 FY27</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capex</w:t>
            </w:r>
          </w:p>
        </w:tc>
        <w:tc>
          <w:tcPr>
            <w:tcW w:type="dxa" w:w="2600"/>
          </w:tcPr>
          <w:p>
            <w:r>
              <w:rPr>
                <w:b w:val="false"/>
                <w:bCs w:val="false"/>
                <w:sz w:val="18"/>
                <w:szCs w:val="18"/>
              </w:rPr>
              <w:t xml:space="preserve">Ramp new capacity - Pithampur facility, peptide API block</w:t>
            </w:r>
          </w:p>
        </w:tc>
        <w:tc>
          <w:tcPr>
            <w:tcW w:type="dxa" w:w="2400"/>
          </w:tcPr>
          <w:p>
            <w:r>
              <w:rPr>
                <w:b w:val="false"/>
                <w:bCs w:val="false"/>
                <w:sz w:val="18"/>
                <w:szCs w:val="18"/>
              </w:rPr>
              <w:t xml:space="preserve">funded partly by rising gross debt (Rs 1,430 Cr FY26)</w:t>
            </w:r>
          </w:p>
        </w:tc>
        <w:tc>
          <w:tcPr>
            <w:tcW w:type="dxa" w:w="900"/>
          </w:tcPr>
          <w:p>
            <w:r>
              <w:rPr>
                <w:b w:val="false"/>
                <w:bCs w:val="false"/>
                <w:sz w:val="18"/>
                <w:szCs w:val="18"/>
              </w:rPr>
              <w:t xml:space="preserve">FY28</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bCs/>
          <w:color w:val="A32020"/>
          <w:sz w:val="20"/>
          <w:szCs w:val="20"/>
        </w:rPr>
        <w:t xml:space="preserve">US ANDA approvals + launches (7 in Q1 FY27, 15+ guided)</w:t>
      </w:r>
      <w:r>
        <w:rPr>
          <w:color w:val="666666"/>
          <w:sz w:val="20"/>
          <w:szCs w:val="20"/>
        </w:rPr>
        <w:t xml:space="preserve"> → </w:t>
      </w:r>
      <w:r>
        <w:rPr>
          <w:b w:val="false"/>
          <w:bCs w:val="false"/>
          <w:sz w:val="20"/>
          <w:szCs w:val="20"/>
        </w:rPr>
        <w:t xml:space="preserve">limited-competition windows (e.g. bosutinib) + volume in base products</w:t>
      </w:r>
      <w:r>
        <w:rPr>
          <w:color w:val="666666"/>
          <w:sz w:val="20"/>
          <w:szCs w:val="20"/>
        </w:rPr>
        <w:t xml:space="preserve"> → </w:t>
      </w:r>
      <w:r>
        <w:rPr>
          <w:b w:val="false"/>
          <w:bCs w:val="false"/>
          <w:sz w:val="20"/>
          <w:szCs w:val="20"/>
        </w:rPr>
        <w:t xml:space="preserve">US formulations revenue growth (+49% Q1 FY27)</w:t>
      </w:r>
      <w:r>
        <w:rPr>
          <w:color w:val="666666"/>
          <w:sz w:val="20"/>
          <w:szCs w:val="20"/>
        </w:rPr>
        <w:t xml:space="preserve"> → </w:t>
      </w:r>
      <w:r>
        <w:rPr>
          <w:b w:val="false"/>
          <w:bCs w:val="false"/>
          <w:sz w:val="20"/>
          <w:szCs w:val="20"/>
        </w:rPr>
        <w:t xml:space="preserve">non-US branded + animal health steady growth</w:t>
      </w:r>
      <w:r>
        <w:rPr>
          <w:color w:val="666666"/>
          <w:sz w:val="20"/>
          <w:szCs w:val="20"/>
        </w:rPr>
        <w:t xml:space="preserve"> → </w:t>
      </w:r>
      <w:r>
        <w:rPr>
          <w:b w:val="false"/>
          <w:bCs w:val="false"/>
          <w:sz w:val="20"/>
          <w:szCs w:val="20"/>
        </w:rPr>
        <w:t xml:space="preserve">consolidated revenue mid-teens</w:t>
      </w:r>
      <w:r>
        <w:rPr>
          <w:color w:val="666666"/>
          <w:sz w:val="20"/>
          <w:szCs w:val="20"/>
        </w:rPr>
        <w:t xml:space="preserve"> → </w:t>
      </w:r>
      <w:r>
        <w:rPr>
          <w:b w:val="false"/>
          <w:bCs w:val="false"/>
          <w:sz w:val="20"/>
          <w:szCs w:val="20"/>
        </w:rPr>
        <w:t xml:space="preserve">operating leverage net of R&amp;D + launch costs</w:t>
      </w:r>
      <w:r>
        <w:rPr>
          <w:color w:val="666666"/>
          <w:sz w:val="20"/>
          <w:szCs w:val="20"/>
        </w:rPr>
        <w:t xml:space="preserve"> → </w:t>
      </w:r>
      <w:r>
        <w:rPr>
          <w:b w:val="false"/>
          <w:bCs w:val="false"/>
          <w:sz w:val="20"/>
          <w:szCs w:val="20"/>
        </w:rPr>
        <w:t xml:space="preserve">PAT</w:t>
      </w:r>
    </w:p>
    <w:p>
      <w:pPr>
        <w:spacing w:after="120"/>
      </w:pPr>
      <w:r>
        <w:rPr>
          <w:color w:val="666666"/>
          <w:sz w:val="18"/>
          <w:szCs w:val="18"/>
        </w:rPr>
        <w:t xml:space="preserve">Bottleneck link: US ANDA approvals + launches (7 in Q1 FY27, 15+ guided).</w:t>
      </w:r>
    </w:p>
    <w:p>
      <w:pPr>
        <w:spacing w:after="120"/>
      </w:pPr>
      <w:r>
        <w:rPr>
          <w:color w:val="666666"/>
          <w:sz w:val="18"/>
          <w:szCs w:val="18"/>
        </w:rPr>
        <w:t xml:space="preserve">Operating leverage: unclear - Q1 FY27 PAT (+12%) lagged revenue (+26%) as R&amp;D and launch costs rose; leverage only shows if the US step-up holds and spend normalises</w:t>
      </w:r>
    </w:p>
    <w:p>
      <w:pPr>
        <w:spacing w:after="120"/>
      </w:pPr>
      <w:r>
        <w:rPr>
          <w:color w:val="666666"/>
          <w:sz w:val="18"/>
          <w:szCs w:val="18"/>
        </w:rPr>
        <w:t xml:space="preserve">Evidenced: US ANDA approvals + launches (7 in Q1 FY27, 15+ guided); US formulations revenue growth (+49% Q1 FY27); non-US branded + animal health steady growth; consolidated revenue mid-teens. Still assumed: limited-competition windows (e.g. bosutinib) + volume in base products; operating leverage net of R&amp;D + launch costs.</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2026-09-08</w:t>
            </w:r>
          </w:p>
        </w:tc>
      </w:tr>
      <w:tr>
        <w:tc>
          <w:tcPr>
            <w:tcW w:type="dxa" w:w="3200"/>
            <w:shd w:fill="F2F2F2" w:val="clear"/>
          </w:tcPr>
          <w:p>
            <w:r>
              <w:rPr>
                <w:b/>
                <w:bCs/>
              </w:rPr>
              <w:t xml:space="preserve">Price / multiple</w:t>
            </w:r>
          </w:p>
        </w:tc>
        <w:tc>
          <w:tcPr>
            <w:tcW w:type="dxa" w:w="5800"/>
          </w:tcPr>
          <w:p>
            <w:r>
              <w:t xml:space="preserve">Rs 808 · 21.3x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~21x trailing on ~13% ROCE needs ~12-15% EPS CAGR to justify a ~20x steady exit; that is roughly the raised FY27 guide, so the multiple already reflects a mid-teens grower - it does not obviously price a sustained US re-rating, but nor is there a large discount</w:t>
            </w:r>
          </w:p>
        </w:tc>
      </w:tr>
      <w:tr>
        <w:tc>
          <w:tcPr>
            <w:tcW w:type="dxa" w:w="3200"/>
            <w:shd w:fill="F2F2F2" w:val="clear"/>
          </w:tcPr>
          <w:p>
            <w:r>
              <w:rPr>
                <w:b/>
                <w:bCs/>
              </w:rPr>
              <w:t xml:space="preserve">Our FY27</w:t>
            </w:r>
          </w:p>
        </w:tc>
        <w:tc>
          <w:tcPr>
            <w:tcW w:type="dxa" w:w="5800"/>
          </w:tcPr>
          <w:p>
            <w:r>
              <w:t xml:space="preserve">revenue ~Rs 8,300-8,600 Cr (+13-17%); PAT ~Rs 750-850 Cr if US strength holds and R&amp;D spend plateaus</w:t>
            </w:r>
          </w:p>
        </w:tc>
      </w:tr>
      <w:tr>
        <w:tc>
          <w:tcPr>
            <w:tcW w:type="dxa" w:w="3200"/>
            <w:shd w:fill="F2F2F2" w:val="clear"/>
          </w:tcPr>
          <w:p>
            <w:r>
              <w:rPr>
                <w:b/>
                <w:bCs/>
              </w:rPr>
              <w:t xml:space="preserve">Our FY28</w:t>
            </w:r>
          </w:p>
        </w:tc>
        <w:tc>
          <w:tcPr>
            <w:tcW w:type="dxa" w:w="5800"/>
          </w:tcPr>
          <w:p>
            <w:r>
              <w:t xml:space="preserve">revenue ~Rs 9,300-9,800 Cr; PAT ~Rs 900-1,050 Cr - contingent on the US business not reverting to the historical stagnation phase</w:t>
            </w:r>
          </w:p>
        </w:tc>
      </w:tr>
      <w:tr>
        <w:tc>
          <w:tcPr>
            <w:tcW w:type="dxa" w:w="3200"/>
            <w:shd w:fill="F2F2F2" w:val="clear"/>
          </w:tcPr>
          <w:p>
            <w:r>
              <w:rPr>
                <w:b/>
                <w:bCs/>
              </w:rPr>
              <w:t xml:space="preserve">Gap direction</w:t>
            </w:r>
          </w:p>
        </w:tc>
        <w:tc>
          <w:tcPr>
            <w:tcW w:type="dxa" w:w="5800"/>
          </w:tcPr>
          <w:p>
            <w:r>
              <w:t xml:space="preserve">priced-in</w:t>
            </w:r>
          </w:p>
        </w:tc>
      </w:tr>
      <w:tr>
        <w:tc>
          <w:tcPr>
            <w:tcW w:type="dxa" w:w="3200"/>
            <w:shd w:fill="F2F2F2" w:val="clear"/>
          </w:tcPr>
          <w:p>
            <w:r>
              <w:rPr>
                <w:b/>
                <w:bCs/>
              </w:rPr>
              <w:t xml:space="preserve">Gap type</w:t>
            </w:r>
          </w:p>
        </w:tc>
        <w:tc>
          <w:tcPr>
            <w:tcW w:type="dxa" w:w="5800"/>
          </w:tcPr>
          <w:p>
            <w:r>
              <w:t xml:space="preserve">duration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market pays ~21x for a company that has just guided mid-teens; the open question is duration (does the US inflection last more than a few quarters), not a mispriced level - historically these bouts fade</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Q2 FY27 (and H2) results showing the US formulations inflection persisting beyond one quarter, with PAT growth catching up to revenue</w:t>
      </w:r>
      <w:r>
        <w:rPr>
          <w:color w:val="666666"/>
          <w:sz w:val="18"/>
          <w:szCs w:val="18"/>
        </w:rPr>
        <w:t xml:space="preserve"> (window ~6M from 2026-09-08; 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US generics + India branded generics + animal healthcare</w:t>
            </w:r>
          </w:p>
        </w:tc>
      </w:tr>
      <w:tr>
        <w:tc>
          <w:tcPr>
            <w:tcW w:type="dxa" w:w="3200"/>
            <w:shd w:fill="F2F2F2" w:val="clear"/>
          </w:tcPr>
          <w:p>
            <w:r>
              <w:rPr>
                <w:b/>
                <w:bCs/>
              </w:rPr>
              <w:t xml:space="preserve">This company's position</w:t>
            </w:r>
          </w:p>
        </w:tc>
        <w:tc>
          <w:tcPr>
            <w:tcW w:type="dxa" w:w="5800"/>
          </w:tcPr>
          <w:p>
            <w:r>
              <w:t xml:space="preserve">vertically integrated (API + formulations) generics maker across OSD, general + oncology injectables, derma, ophthalmic; growing domestic branded franchise and a fast-growing animal-health arm</w:t>
            </w:r>
          </w:p>
        </w:tc>
      </w:tr>
      <w:tr>
        <w:tc>
          <w:tcPr>
            <w:tcW w:type="dxa" w:w="3200"/>
            <w:shd w:fill="F2F2F2" w:val="clear"/>
          </w:tcPr>
          <w:p>
            <w:r>
              <w:rPr>
                <w:b/>
                <w:bCs/>
              </w:rPr>
              <w:t xml:space="preserve">Bottleneck node (pricing power)</w:t>
            </w:r>
          </w:p>
        </w:tc>
        <w:tc>
          <w:tcPr>
            <w:tcW w:type="dxa" w:w="5800"/>
          </w:tcPr>
          <w:p>
            <w:r>
              <w:t xml:space="preserve">USFDA approvals + site compliance; limited-competition product windows</w:t>
            </w:r>
          </w:p>
        </w:tc>
      </w:tr>
      <w:tr>
        <w:tc>
          <w:tcPr>
            <w:tcW w:type="dxa" w:w="3200"/>
            <w:shd w:fill="F2F2F2" w:val="clear"/>
          </w:tcPr>
          <w:p>
            <w:r>
              <w:rPr>
                <w:b/>
                <w:bCs/>
              </w:rPr>
              <w:t xml:space="preserve">Supply-side status</w:t>
            </w:r>
          </w:p>
        </w:tc>
        <w:tc>
          <w:tcPr>
            <w:tcW w:type="dxa" w:w="5800"/>
          </w:tcPr>
          <w:p>
            <w:r>
              <w:t xml:space="preserve">balanced</w:t>
            </w:r>
          </w:p>
        </w:tc>
      </w:tr>
      <w:tr>
        <w:tc>
          <w:tcPr>
            <w:tcW w:type="dxa" w:w="3200"/>
            <w:shd w:fill="F2F2F2" w:val="clear"/>
          </w:tcPr>
          <w:p>
            <w:r>
              <w:rPr>
                <w:b/>
                <w:bCs/>
              </w:rPr>
              <w:t xml:space="preserve">Adjacent-node peers</w:t>
            </w:r>
          </w:p>
        </w:tc>
        <w:tc>
          <w:tcPr>
            <w:tcW w:type="dxa" w:w="5800"/>
          </w:tcPr>
          <w:p>
            <w:r>
              <w:t xml:space="preserve">Ajanta Pharma, Torrent Pharmaceuticals, Alkem Laboratories, Eris Lifesciences</w:t>
            </w:r>
          </w:p>
        </w:tc>
      </w:tr>
    </w:tbl>
    <w:p>
      <w:pPr>
        <w:spacing w:after="120"/>
      </w:pPr>
      <w:r>
        <w:rPr>
          <w:color w:val="666666"/>
          <w:sz w:val="18"/>
          <w:szCs w:val="18"/>
        </w:rPr>
        <w:t xml:space="preserve">US generics is a structurally price-eroding, capacity-balanced pool where returns depend on a launch cadence and occasional limited-competition windows - not a pricing-power moat. The non-US branded + animal-health legs are the more durable value; the trusted tracker's multi-year read agrees.</w:t>
      </w:r>
    </w:p>
    <w:p>
      <w:pPr>
        <w:spacing w:after="60" w:before="120"/>
      </w:pPr>
      <w:r>
        <w:rPr>
          <w:b/>
          <w:bCs/>
          <w:sz w:val="20"/>
          <w:szCs w:val="20"/>
        </w:rPr>
        <w:t xml:space="preserve">Earnings quality: </w:t>
      </w:r>
      <w:r>
        <w:rPr>
          <w:sz w:val="20"/>
          <w:szCs w:val="20"/>
        </w:rPr>
        <w:t xml:space="preserve">margin driver cyclical</w:t>
      </w:r>
      <w:r>
        <w:rPr>
          <w:b/>
          <w:bCs/>
          <w:color w:val="A32020"/>
          <w:sz w:val="20"/>
          <w:szCs w:val="20"/>
        </w:rPr>
        <w:t xml:space="preserve"/>
      </w:r>
    </w:p>
    <w:p>
      <w:pPr>
        <w:spacing w:after="120"/>
      </w:pPr>
      <w:r>
        <w:rPr>
          <w:color w:val="666666"/>
          <w:sz w:val="18"/>
          <w:szCs w:val="18"/>
        </w:rPr>
        <w:t xml:space="preserve">Drivers: US limited-competition launch windows (bosutinib in Q1 FY27); US base-business pricing (chronic erosion); non-US branded + animal-health mix (the steadier component).</w:t>
      </w:r>
    </w:p>
    <w:p>
      <w:pPr>
        <w:spacing w:after="120"/>
      </w:pPr>
      <w:r>
        <w:rPr>
          <w:color w:val="666666"/>
          <w:sz w:val="18"/>
          <w:szCs w:val="18"/>
        </w:rPr>
        <w:t xml:space="preserve">Consolidated margin is not elevated - Q1 FY27 PAT margin ~8% and PAT grew only 12% on 26% revenue as R&amp;D/launch costs rose. The risk is the opposite of peak margin: the US contribution is bout-driven and a limited-competition product (bosutinib) flattered Q1, so the run-rate may not hold.</w:t>
      </w:r>
    </w:p>
    <w:p>
      <w:pPr>
        <w:spacing w:after="60" w:before="120"/>
      </w:pPr>
      <w:r>
        <w:rPr>
          <w:b/>
          <w:bCs/>
          <w:sz w:val="20"/>
          <w:szCs w:val="20"/>
        </w:rPr>
        <w:t xml:space="preserve">Growth trajectory: </w:t>
      </w:r>
      <w:r>
        <w:rPr>
          <w:b w:val="false"/>
          <w:bCs w:val="false"/>
          <w:sz w:val="20"/>
          <w:szCs w:val="20"/>
        </w:rPr>
        <w:t xml:space="preserve">YoY growth rate is lumpy</w:t>
      </w:r>
    </w:p>
    <w:p>
      <w:pPr>
        <w:spacing w:after="120"/>
      </w:pPr>
      <w:r>
        <w:rPr>
          <w:color w:val="666666"/>
          <w:sz w:val="18"/>
          <w:szCs w:val="18"/>
        </w:rPr>
        <w:t xml:space="preserve">FY24 rev +?, FY25 +7%, FY26 +10%, Q1 FY27 +26% - the FY27 jump is off choppy FY26 quarters (PAT Rs 157/184/132/202 Cr). US formulations specifically: multi-year 'bouts of good growth followed by stagnation' per the trusted tracker; +49% in Q1 FY27 is the latest bout.</w:t>
      </w:r>
    </w:p>
    <w:p>
      <w:pPr>
        <w:spacing w:after="120"/>
      </w:pPr>
      <w:r>
        <w:rPr>
          <w:color w:val="666666"/>
          <w:sz w:val="18"/>
          <w:szCs w:val="18"/>
        </w:rPr>
        <w:t xml:space="preserve">Reverse P/E: ~21x trailing needs ~12-15% EPS CAGR; the raised mid-teens guide matches that, so the recent acceleration is roughly priced - upside depends on the US bout lasting, which history says is uncertain.</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Reinvesting into US pipeline (R&amp;D ~13-14% of formulations sales) and capex (Pithampur, peptide API) funded partly by rising gross debt; incremental ROCE has stayed ~13% for years, so the reinvestment has held returns flat rather than compounded them. No unrelated diversification. Consistent dividends (35% payout). (neutral)</w:t>
            </w:r>
          </w:p>
        </w:tc>
      </w:tr>
      <w:tr>
        <w:tc>
          <w:tcPr>
            <w:tcW w:type="dxa" w:w="3200"/>
            <w:shd w:fill="F2F2F2" w:val="clear"/>
          </w:tcPr>
          <w:p>
            <w:r>
              <w:rPr>
                <w:b/>
                <w:bCs/>
              </w:rPr>
              <w:t xml:space="preserve">Related-party trend</w:t>
            </w:r>
          </w:p>
        </w:tc>
        <w:tc>
          <w:tcPr>
            <w:tcW w:type="dxa" w:w="5800"/>
          </w:tcPr>
          <w:p>
            <w:r>
              <w:t xml:space="preserve">clean</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Shareholder returns</w:t>
            </w:r>
          </w:p>
        </w:tc>
        <w:tc>
          <w:tcPr>
            <w:tcW w:type="dxa" w:w="5800"/>
          </w:tcPr>
          <w:p>
            <w:r>
              <w:t xml:space="preserve">consistent</w:t>
            </w:r>
          </w:p>
        </w:tc>
      </w:tr>
      <w:tr>
        <w:tc>
          <w:tcPr>
            <w:tcW w:type="dxa" w:w="3200"/>
            <w:shd w:fill="F2F2F2" w:val="clear"/>
          </w:tcPr>
          <w:p>
            <w:r>
              <w:rPr>
                <w:b/>
                <w:bCs/>
              </w:rPr>
              <w:t xml:space="preserve">Capability ladder / VAP</w:t>
            </w:r>
          </w:p>
        </w:tc>
        <w:tc>
          <w:tcPr>
            <w:tcW w:type="dxa" w:w="5800"/>
          </w:tcPr>
          <w:p>
            <w:r>
              <w:t xml:space="preserve">Moving up into injectables, oncology and peptide manufacturing from a plain-OSD base - a genuine complexity ladder, though it has not yet lifted returns</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13% (stable)</w:t>
            </w:r>
          </w:p>
        </w:tc>
      </w:tr>
      <w:tr>
        <w:tc>
          <w:tcPr>
            <w:tcW w:type="dxa" w:w="3200"/>
            <w:shd w:fill="F2F2F2" w:val="clear"/>
          </w:tcPr>
          <w:p>
            <w:r>
              <w:rPr>
                <w:b/>
                <w:bCs/>
              </w:rPr>
              <w:t xml:space="preserve">Leverage</w:t>
            </w:r>
          </w:p>
        </w:tc>
        <w:tc>
          <w:tcPr>
            <w:tcW w:type="dxa" w:w="5800"/>
          </w:tcPr>
          <w:p>
            <w:r>
              <w:t xml:space="preserve">Net debt/EBITDA 1.3x</w:t>
            </w:r>
          </w:p>
        </w:tc>
      </w:tr>
      <w:tr>
        <w:tc>
          <w:tcPr>
            <w:tcW w:type="dxa" w:w="3200"/>
            <w:shd w:fill="F2F2F2" w:val="clear"/>
          </w:tcPr>
          <w:p>
            <w:r>
              <w:rPr>
                <w:b/>
                <w:bCs/>
              </w:rPr>
              <w:t xml:space="preserve">FCF conversion</w:t>
            </w:r>
          </w:p>
        </w:tc>
        <w:tc>
          <w:tcPr>
            <w:tcW w:type="dxa" w:w="5800"/>
          </w:tcPr>
          <w:p>
            <w:r>
              <w:t xml:space="preserve">40%</w:t>
            </w:r>
          </w:p>
        </w:tc>
      </w:tr>
      <w:tr>
        <w:tc>
          <w:tcPr>
            <w:tcW w:type="dxa" w:w="3200"/>
            <w:shd w:fill="F2F2F2" w:val="clear"/>
          </w:tcPr>
          <w:p>
            <w:r>
              <w:rPr>
                <w:b/>
                <w:bCs/>
              </w:rPr>
              <w:t xml:space="preserve">Margin trend</w:t>
            </w:r>
          </w:p>
        </w:tc>
        <w:tc>
          <w:tcPr>
            <w:tcW w:type="dxa" w:w="5800"/>
          </w:tcPr>
          <w:p>
            <w:r>
              <w:t xml:space="preserve">stable</w:t>
            </w:r>
          </w:p>
        </w:tc>
      </w:tr>
      <w:tr>
        <w:tc>
          <w:tcPr>
            <w:tcW w:type="dxa" w:w="3200"/>
            <w:shd w:fill="F2F2F2" w:val="clear"/>
          </w:tcPr>
          <w:p>
            <w:r>
              <w:rPr>
                <w:b/>
                <w:bCs/>
              </w:rPr>
              <w:t xml:space="preserve">Capex efficiency</w:t>
            </w:r>
          </w:p>
        </w:tc>
        <w:tc>
          <w:tcPr>
            <w:tcW w:type="dxa" w:w="5800"/>
          </w:tcPr>
          <w:p>
            <w:r>
              <w:t xml:space="preserve">neutral</w:t>
            </w:r>
          </w:p>
        </w:tc>
      </w:tr>
    </w:tbl>
    <w:p>
      <w:pPr>
        <w:spacing w:after="60" w:before="120"/>
      </w:pPr>
      <w:r>
        <w:rPr>
          <w:b/>
          <w:bCs/>
          <w:sz w:val="20"/>
          <w:szCs w:val="20"/>
        </w:rPr>
        <w:t xml:space="preserve">Track record (Coffee Can persistence check): </w:t>
      </w:r>
      <w:r>
        <w:rPr>
          <w:sz w:val="20"/>
          <w:szCs w:val="20"/>
        </w:rPr>
        <w:t xml:space="preserve">cleared revenue growth ≥10% AND ROCE ≥15% in 0 of the last 3 years (consistency_score 0)</w:t>
      </w:r>
    </w:p>
    <w:p>
      <w:pPr>
        <w:spacing w:after="120"/>
      </w:pPr>
      <w:r>
        <w:rPr>
          <w:color w:val="666666"/>
          <w:sz w:val="18"/>
          <w:szCs w:val="18"/>
        </w:rPr>
        <w:t xml:space="preserve">FY24-FY26 verifiable. None clear both revenue growth &gt;=10% and ROCE &gt;=15% in the same year: FY24 revenue growth was low-single-digit, FY25 revenue +7% and PAT actually fell, FY26 revenue +10% but ROCE ~13% (below 15%). Long-listed large company, so the zero is an informative multi-year record of sub-bar returns, not a young-company artefact. Q1 FY27 hints FY27 revenue growth could clear the 10% leg, but the ROCE leg still looks short of 15%.</w:t>
      </w:r>
    </w:p>
    <w:p>
      <w:pPr>
        <w:pStyle w:val="Heading1"/>
        <w:spacing w:after="120" w:before="280"/>
      </w:pPr>
      <w:r>
        <w:t xml:space="preserve">Technical Read (Weekly / Monthly MACD + Bollinger Bands, or RSI/CCI/Williams %R proxy)</w:t>
      </w:r>
    </w:p>
    <w:p>
      <w:pPr>
        <w:spacing w:after="120"/>
      </w:pPr>
      <w:r>
        <w:t xml:space="preserve">Not pulled this pass — no browser escalation triggered.</w:t>
      </w:r>
    </w:p>
    <w:p>
      <w:pPr>
        <w:pStyle w:val="Heading1"/>
        <w:spacing w:after="120" w:before="280"/>
      </w:pPr>
      <w:r>
        <w:t xml:space="preserve">ValuePickr Community Signal</w:t>
      </w:r>
    </w:p>
    <w:p>
      <w:pPr>
        <w:spacing w:after="120"/>
      </w:pPr>
      <w:r>
        <w:t xml:space="preserve">Read 50 of 746+ posts covering FY22 through FY25 (posts #750-802) due to the thread's uneven posting cadence. harsh.beria93 (trusted) is again the dominant, most-detailed voice, with granular manufacturing-facility-by-facility and quarter-by-quarter notes spanning several years — a similarly sustained diligence effort to his Ajanta Pharma coverage. ranvir (trusted) provided detailed, sourced Q2 FY25 segment data. Rafi_Syed (trusted) shared a realistic, non-promotional management-meet summary (Nov 2022) explicitly noting continued US pricing pressure and 'no meaningful visible large launches' despite aggressive capex/R&amp;D spend.</w:t>
      </w:r>
    </w:p>
    <w:p>
      <w:pPr>
        <w:spacing w:after="120"/>
      </w:pPr>
      <w:r>
        <w:rPr>
          <w:b/>
          <w:bCs/>
          <w:sz w:val="20"/>
          <w:szCs w:val="20"/>
        </w:rPr>
        <w:t xml:space="preserve">High-conviction call from a top contributor: </w:t>
      </w:r>
      <w:r>
        <w:rPr>
          <w:sz w:val="20"/>
          <w:szCs w:val="20"/>
        </w:rPr>
        <w:t xml:space="preserve">harsh.beria93's (trusted) own multi-year decade-summary chart concludes: 'US has seen bouts of good growth followed by stagnation. Their non-US business has been the most secular growth driver' — a balanced, first-principles assessment rather than a bullish thesis. This matches Vijay_Kiran's (trusted) original queueing signal, which was a real, repeated (4 separate posts) but modestly-sized holding (1.00% weight by the most recent disclosure) rather than a large concentrated bet.</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FY22-FY25, ongoing — harsh.beria93, ranvir, Rafi_Syed (all trusted)</w:t>
      </w:r>
      <w:r>
        <w:rPr>
          <w:i/>
          <w:iCs/>
          <w:color w:val="666666"/>
          <w:sz w:val="18"/>
          <w:szCs w:val="18"/>
        </w:rPr>
        <w:t xml:space="preserve"> (Alembic Pharma company thread + VijayKiran (VK) Long Term Portfolio (queueing source))</w:t>
      </w:r>
      <w:r>
        <w:rPr>
          <w:sz w:val="20"/>
          <w:szCs w:val="20"/>
        </w:rPr>
        <w:br/>
        <w:t xml:space="preserve">: harsh.beria93 has posted detailed multi-year facility and concall notes; his own decade-summary explicitly frames the US business as cyclical/stagnant and non-US as the real secular growth driver. ranvir and Rafi_Syed provided detailed, realistic (not promotional) quarterly updates. Vijay_Kiran's original portfolio mention was a real but modest (1.00% weight) holding.</w:t>
      </w:r>
    </w:p>
    <w:p>
      <w:pPr>
        <w:pStyle w:val="Heading1"/>
        <w:spacing w:after="120" w:before="280"/>
      </w:pPr>
      <w:r>
        <w:t xml:space="preserve">BSE Corporate Actions / Other Red Flags</w:t>
      </w:r>
    </w:p>
    <w:p>
      <w:pPr>
        <w:spacing w:after="120"/>
      </w:pPr>
      <w:r>
        <w:t xml:space="preserve">No SEBI/regulatory action found. A Q1 FY25 API segment decline (-15%) was explained as due to a customer losing market share after their own FDA issues — an external, not Alembic-specific, concern.</w:t>
      </w:r>
    </w:p>
    <w:p>
      <w:pPr>
        <w:pStyle w:val="Heading1"/>
        <w:spacing w:after="120" w:before="280"/>
      </w:pPr>
      <w:r>
        <w:t xml:space="preserve">Bull Case</w:t>
      </w:r>
    </w:p>
    <w:p>
      <w:pPr>
        <w:pStyle w:val="ListParagraph"/>
        <w:numPr>
          <w:ilvl w:val="0"/>
          <w:numId w:val="1"/>
        </w:numPr>
        <w:spacing w:after="60"/>
      </w:pPr>
      <w:r>
        <w:t xml:space="preserve">Genuinely secular, well-diversified growth outside the US: domestic branded generics (new Gynac/Cardiac divisions, expanding MR force), and a strong animal healthcare segment (~24% CAGR, 5 brands with Rs 30 Cr+ sales each)</w:t>
      </w:r>
    </w:p>
    <w:p>
      <w:pPr>
        <w:pStyle w:val="ListParagraph"/>
        <w:numPr>
          <w:ilvl w:val="0"/>
          <w:numId w:val="1"/>
        </w:numPr>
        <w:spacing w:after="60"/>
      </w:pPr>
      <w:r>
        <w:t xml:space="preserve">Q1 FY27 shows a specific, credible catalyst directly contradicting the older 'cyclical/stagnant' US framing: US Formulations +49% YoY to Rs 778 Cr, consolidated revenue +25.66%, and management upgrading FY27 guidance to mid-teens</w:t>
      </w:r>
    </w:p>
    <w:p>
      <w:pPr>
        <w:pStyle w:val="ListParagraph"/>
        <w:numPr>
          <w:ilvl w:val="0"/>
          <w:numId w:val="1"/>
        </w:numPr>
        <w:spacing w:after="60"/>
      </w:pPr>
      <w:r>
        <w:t xml:space="preserve">A real (if slow-materializing) injectable/oncology/peptide pipeline under development across multiple facilities, which could eventually diversify away from cyclical US OSD pricing pressure</w:t>
      </w:r>
    </w:p>
    <w:p>
      <w:pPr>
        <w:pStyle w:val="ListParagraph"/>
        <w:numPr>
          <w:ilvl w:val="0"/>
          <w:numId w:val="1"/>
        </w:numPr>
        <w:spacing w:after="60"/>
      </w:pPr>
      <w:r>
        <w:t xml:space="preserve">Sustained, detailed, multi-year trusted-user diligence (harsh.beria93) matching the depth of coverage given to higher-conviction names in this batch</w:t>
      </w:r>
    </w:p>
    <w:p>
      <w:pPr>
        <w:pStyle w:val="Heading1"/>
        <w:spacing w:after="120" w:before="280"/>
      </w:pPr>
      <w:r>
        <w:t xml:space="preserve">Bear Case / Key Risks</w:t>
      </w:r>
    </w:p>
    <w:p>
      <w:pPr>
        <w:pStyle w:val="ListParagraph"/>
        <w:numPr>
          <w:ilvl w:val="0"/>
          <w:numId w:val="1"/>
        </w:numPr>
        <w:spacing w:after="60"/>
      </w:pPr>
      <w:r>
        <w:t xml:space="preserve">Trailing 5-year growth (6.37%) and moderate ROE/ROCE (12.7% / 14.66%) are weaker than the higher-quality names in this batch — the Q1 FY27 beat is one quarter and not yet a confirmed new trend</w:t>
      </w:r>
    </w:p>
    <w:p>
      <w:pPr>
        <w:pStyle w:val="ListParagraph"/>
        <w:numPr>
          <w:ilvl w:val="0"/>
          <w:numId w:val="1"/>
        </w:numPr>
        <w:spacing w:after="60"/>
      </w:pPr>
      <w:r>
        <w:t xml:space="preserve">The trusted user's own multi-year synthesis (through FY25) explicitly framed the flagship US business as cyclical/stagnant rather than a growth driver — Q1 FY27 updates this but doesn't yet overturn years of prior evidence</w:t>
      </w:r>
    </w:p>
    <w:p>
      <w:pPr>
        <w:pStyle w:val="ListParagraph"/>
        <w:numPr>
          <w:ilvl w:val="0"/>
          <w:numId w:val="1"/>
        </w:numPr>
        <w:spacing w:after="60"/>
      </w:pPr>
      <w:r>
        <w:t xml:space="preserve">Rising gross borrowings to fund ongoing capex, alongside management's own earlier admission of 'no meaningful visible large launches' in the US despite heavy R&amp;D spend</w:t>
      </w:r>
    </w:p>
    <w:p>
      <w:pPr>
        <w:pStyle w:val="ListParagraph"/>
        <w:numPr>
          <w:ilvl w:val="0"/>
          <w:numId w:val="1"/>
        </w:numPr>
        <w:spacing w:after="60"/>
      </w:pPr>
      <w:r>
        <w:t xml:space="preserve">The original trusted queueing signal was a real but modest (1.00%) position, not a high-conviction concentrated bet</w:t>
      </w:r>
    </w:p>
    <w:p>
      <w:pPr>
        <w:pStyle w:val="Heading1"/>
        <w:spacing w:after="120" w:before="280"/>
      </w:pPr>
      <w:r>
        <w:t xml:space="preserve">Market-Cap Tier (informational — not a gate in this project)</w:t>
      </w:r>
    </w:p>
    <w:p>
      <w:pPr>
        <w:spacing w:after="120"/>
      </w:pPr>
      <w:r>
        <w:rPr>
          <w:b/>
          <w:bCs/>
        </w:rPr>
        <w:t xml:space="preserve">mid-cap (~Rs 15,900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no · moat: weak · valuation: weak  (score 1.5 / 4)</w:t>
      </w:r>
    </w:p>
    <w:p>
      <w:pPr>
        <w:spacing w:after="120"/>
      </w:pPr>
      <w:r>
        <w:rPr>
          <w:i/>
          <w:iCs/>
          <w:color w:val="666666"/>
          <w:sz w:val="20"/>
          <w:szCs w:val="20"/>
        </w:rPr>
        <w:t xml:space="preserve">US generics is structurally price-eroding, not a tailwind; non-US branded + animal health is a modest one - tailwind weak. tam no: at ~Rs 15,900 Cr a 10x needs ~Rs 1.6 lakh Cr, unreachable for a mid-teens grower - the mid/large-cap size-math 'neither' applies. Moat weak: FY26 ROCE ~13% and a -9% 5-yr profit CAGR show the integrated-generics position is not translating to returns. Valuation weak: ~21x P/E already prices the raised mid-teens guide. Score 1.5 -&gt; thesis_fit 'neither', hard (no exception). Conviction Medium reflects the real Q1 FY27 US inflection, the diversified non-US franchise and consistent dividends.</w:t>
      </w:r>
    </w:p>
    <w:p>
      <w:pPr>
        <w:pStyle w:val="Heading1"/>
        <w:spacing w:after="120" w:before="280"/>
      </w:pPr>
      <w:r>
        <w:t xml:space="preserve">Verdict</w:t>
      </w:r>
    </w:p>
    <w:p>
      <w:pPr>
        <w:spacing w:after="120"/>
      </w:pPr>
      <w:r>
        <w:rPr>
          <w:b/>
          <w:bCs/>
          <w:sz w:val="24"/>
          <w:szCs w:val="24"/>
        </w:rPr>
        <w:t xml:space="preserve">A real Q1 FY27 US inflection (formulations +49%, guidance raised) on top of a genuinely secular non-US franchise - but a ~Rs 16,000 Cr mid-cap growing mid-teens with 13% ROCE is a 'neither' on size math; conviction Medium</w:t>
      </w:r>
    </w:p>
    <w:p>
      <w:pPr>
        <w:pStyle w:val="ListParagraph"/>
        <w:numPr>
          <w:ilvl w:val="0"/>
          <w:numId w:val="1"/>
        </w:numPr>
        <w:spacing w:after="60"/>
      </w:pPr>
      <w:r>
        <w:t xml:space="preserve">RE-VERIFICATION (2026-08-23, refreshed 2026-09-08): the prior Medium-High conviction / 'neither' were set under the old auto-floor logic; harsh.beria93 is 'elevated' not 'core' so no floor applies. Conviction re-derived from scratch.</w:t>
      </w:r>
    </w:p>
    <w:p>
      <w:pPr>
        <w:pStyle w:val="ListParagraph"/>
        <w:numPr>
          <w:ilvl w:val="0"/>
          <w:numId w:val="1"/>
        </w:numPr>
        <w:spacing w:after="60"/>
      </w:pPr>
      <w:r>
        <w:t xml:space="preserve">Trailing quality is moderate: FY26 ROCE ~13%, ROE ~13.4%, 5-yr sales CAGR ~6%, 5-yr profit CAGR ~-9%; the trusted tracker's own multi-year synthesis frames the flagship US business as cyclical/stagnant and non-US as the real secular driver.</w:t>
      </w:r>
    </w:p>
    <w:p>
      <w:pPr>
        <w:pStyle w:val="ListParagraph"/>
        <w:numPr>
          <w:ilvl w:val="0"/>
          <w:numId w:val="1"/>
        </w:numPr>
        <w:spacing w:after="60"/>
      </w:pPr>
      <w:r>
        <w:t xml:space="preserve">Q1 FY27 is a real, specific inflection: consolidated revenue +26% to Rs 2,150 Cr, US formulations +49% YoY to Rs 778 Cr on 7 launches (incl. limited-competition bosutinib), and management raised FY27 US-generics guidance from low-teens to mid-to-high teens and company growth to ~mid-teens - but PAT rose only 12% (R&amp;D + launch costs), and it is one quarter partly boosted by a limited-competition product.</w:t>
      </w:r>
    </w:p>
    <w:p>
      <w:pPr>
        <w:pStyle w:val="ListParagraph"/>
        <w:numPr>
          <w:ilvl w:val="0"/>
          <w:numId w:val="1"/>
        </w:numPr>
        <w:spacing w:after="60"/>
      </w:pPr>
      <w:r>
        <w:t xml:space="preserve">four_box re-derived to 1.5 (tailwind weak / tam no / moat weak / valuation weak). tam = no: at ~Rs 15,900 Cr, a 10x needs ~Rs 1.6 lakh Cr and mid-teens growth cannot get there in 2-3 years - the genuine-mid/large-cap size-math 'neither' applies, and the small-cap live-inflection carve-out does not. Score &lt;= 1.5 -&gt; thesis_fit 'neither', hard.</w:t>
      </w:r>
    </w:p>
    <w:p>
      <w:pPr>
        <w:pStyle w:val="ListParagraph"/>
        <w:numPr>
          <w:ilvl w:val="0"/>
          <w:numId w:val="1"/>
        </w:numPr>
        <w:spacing w:after="60"/>
      </w:pPr>
      <w:r>
        <w:t xml:space="preserve">Conviction Medium (unchanged from pre): the Q1 US inflection, a genuinely diversified non-US franchise (domestic branded, ~24% CAGR animal health), consistent dividends (35% payout) and multi-year trusted diligence support it; the cyclical US flagship, sub-bar ROCE, -9% 5-yr profit CAGR, rising gross debt (Rs 1,430 Cr) and one-quarter data cap it there. Revisit after Q2 FY27 to see if the US inflection persists.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2026-09-08T14:28:45.458Z</dcterms:created>
  <dcterms:modified xsi:type="dcterms:W3CDTF">2026-09-08T14:28:45.466Z</dcterms:modified>
</cp:coreProperties>
</file>

<file path=docProps/custom.xml><?xml version="1.0" encoding="utf-8"?>
<Properties xmlns="http://schemas.openxmlformats.org/officeDocument/2006/custom-properties" xmlns:vt="http://schemas.openxmlformats.org/officeDocument/2006/docPropsVTypes"/>
</file>