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4E5F"/>
          <w:sz w:val="44"/>
          <w:szCs w:val="44"/>
        </w:rPr>
        <w:t xml:space="preserve">Alpex Solar Ltd</w:t>
      </w:r>
    </w:p>
    <w:p>
      <w:pPr>
        <w:pBdr>
          <w:bottom w:val="single" w:color="CCCCCC" w:sz="6" w:space="8"/>
        </w:pBdr>
        <w:spacing w:after="200"/>
      </w:pPr>
      <w:r>
        <w:rPr>
          <w:i/>
          <w:iCs/>
          <w:color w:val="666666"/>
          <w:sz w:val="22"/>
          <w:szCs w:val="22"/>
        </w:rPr>
        <w:t xml:space="preserve">North India's largest solar-module maker, backward-integrating into a 2.2GW TOPCon cell plant to capture the Jun-2026 DCR policy; growth is real but earnings are at a policy-window peak (Q1 FY27 PAT -6% on margin compression), leverage and finance costs are ramping fast, FY26 operating cash flow was -Rs 116 Cr, and the cell plant has slipped to Sep-2026</w:t>
      </w:r>
    </w:p>
    <w:p>
      <w:pPr>
        <w:pStyle w:val="Heading1"/>
        <w:spacing w:after="120" w:before="280"/>
      </w:pPr>
      <w:r>
        <w:t xml:space="preserve">Business Overview</w:t>
      </w:r>
    </w:p>
    <w:p>
      <w:pPr>
        <w:spacing w:after="120"/>
      </w:pPr>
      <w:r>
        <w:t xml:space="preserve">Alpex Solar -- North India's largest solar PV module manufacturer (Greater Noida), backward-integrating into TOPCon cell manufacturing (2.2GW G12R plant at Kosi Kotwan, Mathura) ahead of the mandated domestic-content (DCR) policy shift. Applied for ALMM List-II inclusion for the cell plant.</w:t>
      </w:r>
    </w:p>
    <w:p>
      <w:pPr>
        <w:pStyle w:val="Heading1"/>
        <w:spacing w:after="120" w:before="280"/>
      </w:pPr>
      <w:r>
        <w:t xml:space="preserve">Fundamentals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5800"/>
      </w:tblGrid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Market Cap</w:t>
            </w:r>
          </w:p>
        </w:tc>
        <w:tc>
          <w:tcPr>
            <w:tcW w:type="dxa" w:w="5800"/>
          </w:tcPr>
          <w:p>
            <w:r>
              <w:t xml:space="preserve">Rs 2,396 Cr (price ~Rs 938)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ROCE / ROE</w:t>
            </w:r>
          </w:p>
        </w:tc>
        <w:tc>
          <w:tcPr>
            <w:tcW w:type="dxa" w:w="5800"/>
          </w:tcPr>
          <w:p>
            <w:r>
              <w:t xml:space="preserve">43.5% / 52.0% (3yr ROE ~47%, 5yr ~43%) -- policy/cycle-aided, FCF-negative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Revenue (FY26)</w:t>
            </w:r>
          </w:p>
        </w:tc>
        <w:tc>
          <w:tcPr>
            <w:tcW w:type="dxa" w:w="5800"/>
          </w:tcPr>
          <w:p>
            <w:r>
              <w:t xml:space="preserve">Rs 2,223 Cr; Q1 FY27 Rs 503 Cr (+32.4% YoY, -25% QoQ)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PAT</w:t>
            </w:r>
          </w:p>
        </w:tc>
        <w:tc>
          <w:tcPr>
            <w:tcW w:type="dxa" w:w="5800"/>
          </w:tcPr>
          <w:p>
            <w:r>
              <w:t xml:space="preserve">FY26 Rs 202 Cr (record); Q1 FY27 Rs 39.9 Cr (-5.7% YoY); net margin 7.9% vs 11.1%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Debt</w:t>
            </w:r>
          </w:p>
        </w:tc>
        <w:tc>
          <w:tcPr>
            <w:tcW w:type="dxa" w:w="5800"/>
          </w:tcPr>
          <w:p>
            <w:r>
              <w:t xml:space="preserve">Borrowings Rs 537 Cr (Mar 2026), D/E ~0.87x; Q1 FY27 finance cost Rs 15.0 Cr (+350% YoY); Rs 2,000 Cr borrowing authorisation sought via Jul-2026 postal ballot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Operating cash flow</w:t>
            </w:r>
          </w:p>
        </w:tc>
        <w:tc>
          <w:tcPr>
            <w:tcW w:type="dxa" w:w="5800"/>
          </w:tcPr>
          <w:p>
            <w:r>
              <w:t xml:space="preserve">FY24 -Rs 5 Cr, FY25 +Rs 69 Cr, FY26 -Rs 116 Cr (capex-driven cash burn)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Valuation</w:t>
            </w:r>
          </w:p>
        </w:tc>
        <w:tc>
          <w:tcPr>
            <w:tcW w:type="dxa" w:w="5800"/>
          </w:tcPr>
          <w:p>
            <w:r>
              <w:t xml:space="preserve">~12x trailing P/E, ~4.3x book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Promoter holding</w:t>
            </w:r>
          </w:p>
        </w:tc>
        <w:tc>
          <w:tcPr>
            <w:tcW w:type="dxa" w:w="5800"/>
          </w:tcPr>
          <w:p>
            <w:r>
              <w:t xml:space="preserve">65.90%, no pledge / no encumbrance declared FY26</w:t>
            </w:r>
          </w:p>
        </w:tc>
      </w:tr>
    </w:tbl>
    <w:p>
      <w:pPr>
        <w:spacing w:after="100"/>
      </w:pPr>
    </w:p>
    <w:p>
      <w:pPr>
        <w:spacing w:after="120"/>
      </w:pPr>
      <w:r>
        <w:t xml:space="preserve">Headline growth and returns remain exceptional (3yr sales CAGR ~125%, FY26 PAT Rs 202 Cr, ROE 52%), but the deep read shows the earnings are at a policy-window / cycle peak and are now compressing: Q1 FY27 revenue rose 32% YoY yet PAT fell 5.7% as net margin dropped to 7.9% from 11.1%, finance costs jumped ~350% YoY to Rs 15 Cr, and depreciation and employee costs stepped up. FY26 operating cash flow was -Rs 116 Cr as the 2.2GW cell capex absorbed cash, and the board has sought a Rs 2,000 Cr borrowing authorisation. Positives vs the prior pass: promoters declared no pledge/encumbrance for FY26, debtor days improved to 42 (from 63), and the DCR catalyst is confirmed and live with an ALMM List-II application filed. The 2.2GW TOPCon cell plant slipped from Aug to Sep 2026 (imported-machine problems plus a minor insured fire on 21-Jul-2026), and the community's environmental-clearance capacity dispute (1.6GW vs claimed 2.2GW) is still unresolved.</w:t>
      </w:r>
    </w:p>
    <w:p>
      <w:pPr>
        <w:pStyle w:val="Heading1"/>
        <w:spacing w:after="120" w:before="280"/>
      </w:pPr>
      <w:r>
        <w:t xml:space="preserve">Deep-Dive: Primary Documents (Annual Reports, Quarterly Results, Exchange Filings)</w:t>
      </w:r>
    </w:p>
    <w:p>
      <w:pPr>
        <w:spacing w:after="120"/>
      </w:pPr>
      <w:r>
        <w:rPr>
          <w:i/>
          <w:iCs/>
          <w:color w:val="666666"/>
          <w:sz w:val="18"/>
          <w:szCs w:val="18"/>
        </w:rPr>
        <w:t xml:space="preserve">Pass 1 — 2026-09-08. Built from the company's own filings (3 years of annual reports, ~4 quarters of results/concalls, and 6 months of BSE/NSE announcements), read via the web — a deeper layer than the forum-sentiment read below.</w:t>
      </w:r>
    </w:p>
    <w:p>
      <w:pPr>
        <w:spacing w:after="120"/>
      </w:pPr>
      <w:r>
        <w:rPr>
          <w:b/>
          <w:bCs/>
          <w:sz w:val="20"/>
          <w:szCs w:val="20"/>
        </w:rPr>
        <w:t xml:space="preserve">Sources reviewed this pass: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screener.in ALPEXSOLAR consolidated -- price Rs 938, mcap Rs 2,396 Cr, P/E 11.9, ROCE 43.5%, ROE 52%, FY26 revenue Rs 2,223 Cr / PAT Rs 202 Cr, borrowings Rs 537 Cr (D/E ~0.87x), OCF FY24 -Rs 5 Cr / FY25 Rs 69 Cr / FY26 -Rs 116 Cr, debtor days 42 (was 63), promoter 65.90% no pledge, 3yr sales CAGR 125%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SaurEnergy / SolarQuarter / Tradebrains / Univest coverage of Q1 FY27 (consol revenue Rs 503.4 Cr +32.4% YoY, PAT Rs 39.9 Cr -5.7% YoY, net margin 7.9% vs 11.1%, finance costs Rs 15.0 Cr vs Rs 3.3 Cr, D&amp;A Rs 9.9 Cr vs Rs 4.1 Cr)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PV-Tech / Energetica / SolarQuarter on the 2.2GW TOPCon G12R cell plant (simultaneous full commissioning, ALMM List-II application, schedule slip Aug -&gt; Sep 2026 on imported-machine issues + July fire)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ScanX -- promoters declared no share encumbrance FY26; postal-ballot notice 19-Jul-2026 (Rs 2,000 Cr borrowing authorisation, asset disposal, RPTs)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News-cm / SaurEnergy -- 21-Jul-2026 minor insured fire at Mathura factory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ValuePickr Alpex Solar thread (DCR policy detail; vikas_chandrawat receivables/interest concern; EC-capacity 1.6GW-vs-2.2GW dispute)</w:t>
      </w:r>
    </w:p>
    <w:p>
      <w:pPr>
        <w:spacing w:after="120"/>
      </w:pPr>
      <w:r>
        <w:rPr>
          <w:b/>
          <w:bCs/>
          <w:sz w:val="20"/>
          <w:szCs w:val="20"/>
        </w:rPr>
        <w:t xml:space="preserve">Annual-report findings (3-year view):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FY26 revenue Rs 2,223 Cr, EBITDA Rs 327 Cr, PAT Rs 202 Cr (record) -- growth substantially policy/DCR-anticipation and module-demand driven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FY26 operating cash flow -Rs 116 Cr (vs +Rs 69 Cr FY25) as the 2.2GW cell capex absorbed working capital and fixed assets -- reported PAT is not converting to cash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Borrowings Rs 537 Cr at Mar 2026, D/E ~0.87x on ~Rs 562 Cr equity; board seeking Rs 2,000 Cr further borrowing authorisation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Promoters declared no pledge / no encumbrance for FY26; promoter holding 65.90%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Debtor days improved to 42 from 63 -- the receivables-outgrowing-revenue concern from the prior pass has eased at the headline level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Environmental-clearance capacity for the cell plant disputed by the community (1.6GW cleared vs 2.2GW claimed) -- unresolved</w:t>
      </w:r>
    </w:p>
    <w:p>
      <w:pPr>
        <w:spacing w:after="120"/>
      </w:pPr>
      <w:r>
        <w:rPr>
          <w:b/>
          <w:bCs/>
          <w:sz w:val="20"/>
          <w:szCs w:val="20"/>
        </w:rPr>
        <w:t xml:space="preserve">Quarterly trend (last ~4 quarters + concall commentary):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Q4 FY26: sales +105.3% YoY to Rs 671.96 Cr; FY26 revenue/profit nearly tripled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Q1 FY27: revenue Rs 503 Cr +32.4% YoY but -25% QoQ; PAT Rs 39.9 Cr -5.7% YoY; net margin 7.9% vs 11.1%; finance costs +350% YoY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Growth rate decelerating from triple-digit prints, and profit turned negative YoY as costs (finance, depreciation, employee) stepped up ahead of cell-plant revenue</w:t>
      </w:r>
    </w:p>
    <w:p>
      <w:pPr>
        <w:spacing w:after="120"/>
      </w:pPr>
      <w:r>
        <w:rPr>
          <w:b/>
          <w:bCs/>
          <w:sz w:val="20"/>
          <w:szCs w:val="20"/>
        </w:rPr>
        <w:t xml:space="preserve">Exchange announcements (last 6 months):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Cell-plant commissioning slipped from Aug to Sep 2026 (imported-machine problems + July fire)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ALMM List-II application filed with MNRE for the 2.2GW cell plant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19-Jul-2026 postal ballot: Rs 2,000 Cr borrowing authorisation, director appointment, asset disposal, RPTs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21-Jul-2026 minor insured fire at Mathura factory, operations resumed</w:t>
      </w:r>
    </w:p>
    <w:p>
      <w:pPr>
        <w:spacing w:after="120"/>
      </w:pPr>
      <w:r>
        <w:rPr>
          <w:b/>
          <w:bCs/>
          <w:sz w:val="20"/>
          <w:szCs w:val="20"/>
        </w:rPr>
        <w:t xml:space="preserve">Key new facts vs. the prior write-up: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Earnings are compressing at the point of maximum policy tailwind: Q1 FY27 PAT -5.7% YoY on a 400bps net-margin drop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FY26 operating cash flow -Rs 116 Cr; leverage and finance costs ramping sharply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Promoter pledge concern is cleared (no encumbrance FY26); debtor days improved to 42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2.2GW cell plant delayed again to Sep 2026; EC-capacity dispute still open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Valuation is low (~12x P/E) -- the market is discounting cyclicality/leverage, not pricing a DCR margin windfall</w:t>
      </w:r>
    </w:p>
    <w:p>
      <w:pPr>
        <w:spacing w:after="120"/>
      </w:pPr>
      <w:r>
        <w:rPr>
          <w:b/>
          <w:bCs/>
          <w:sz w:val="20"/>
          <w:szCs w:val="20"/>
        </w:rPr>
        <w:t xml:space="preserve">Open questions / what to watch: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Does the cell plant actually commission at 2.2GW in Sep 2026, and does ALMM List-II inclusion come through?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Does cell integration lift blended margins enough to offset module-price commoditisation, or does DCR pricing get competed away?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How high does D/E go if the Rs 2,000 Cr authorisation is drawn, and can the company service it if module margins stay at ~8%?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Is the environmental clearance genuinely for 2.2GW or 1.6GW?</w:t>
      </w:r>
    </w:p>
    <w:p>
      <w:pPr>
        <w:spacing w:after="120" w:before="120"/>
      </w:pPr>
      <w:r>
        <w:rPr>
          <w:b/>
          <w:bCs/>
          <w:sz w:val="20"/>
          <w:szCs w:val="20"/>
        </w:rPr>
        <w:t xml:space="preserve">Conviction impact: </w:t>
      </w:r>
      <w:r>
        <w:rPr>
          <w:sz w:val="20"/>
          <w:szCs w:val="20"/>
        </w:rPr>
        <w:t xml:space="preserve">Medium -&gt; Medium (held). Pledge-clean confirmation and better debtor days are offset by Q1 FY27 margin compression, negative FY26 operating cash flow, a finance-cost line up 350%, a Rs 2,000 Cr borrowing ask, a twice-slipped cell plant and an unresolved EC-capacity dispute. Label '10x-in-2-3-years' kept only under the un-ignorable-growth exception.</w:t>
      </w:r>
    </w:p>
    <w:p>
      <w:pPr>
        <w:pStyle w:val="Heading1"/>
        <w:spacing w:after="120" w:before="280"/>
      </w:pPr>
      <w:r>
        <w:t xml:space="preserve">Guidance &amp; Expectation Gap</w:t>
      </w:r>
    </w:p>
    <w:p>
      <w:pPr>
        <w:spacing w:after="120"/>
      </w:pPr>
      <w:r>
        <w:rPr>
          <w:i/>
          <w:iCs/>
          <w:color w:val="666666"/>
          <w:sz w:val="18"/>
          <w:szCs w:val="18"/>
        </w:rPr>
        <w:t xml:space="preserve">Management guidance decoded into commitments, graded on the expectation → action → operational → commercial → financial ladder, then compared to what the current price appears to assume. Method: playbook/guidance-and-expectation-gap.md.</w:t>
      </w:r>
    </w:p>
    <w:p>
      <w:pPr>
        <w:spacing w:after="120"/>
      </w:pPr>
      <w:r>
        <w:rPr>
          <w:b/>
          <w:bCs/>
          <w:sz w:val="20"/>
          <w:szCs w:val="20"/>
        </w:rPr>
        <w:t xml:space="preserve">Commitment ladder (most-proven first):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00"/>
        <w:gridCol w:w="2600"/>
        <w:gridCol w:w="2400"/>
        <w:gridCol w:w="900"/>
        <w:gridCol w:w="1200"/>
        <w:gridCol w:w="800"/>
      </w:tblGrid>
      <w:tr>
        <w:trPr>
          <w:tblHeader/>
        </w:trPr>
        <w:tc>
          <w:tcPr>
            <w:tcW w:type="dxa" w:w="1100"/>
            <w:shd w:fill="F2F2F2" w:val="clear"/>
          </w:tcPr>
          <w:p>
            <w:r>
              <w:rPr>
                <w:b/>
                <w:bCs/>
                <w:sz w:val="18"/>
                <w:szCs w:val="18"/>
              </w:rPr>
              <w:t xml:space="preserve">Area</w:t>
            </w:r>
          </w:p>
        </w:tc>
        <w:tc>
          <w:tcPr>
            <w:tcW w:type="dxa" w:w="2600"/>
            <w:shd w:fill="F2F2F2" w:val="clear"/>
          </w:tcPr>
          <w:p>
            <w:r>
              <w:rPr>
                <w:b/>
                <w:bCs/>
                <w:sz w:val="18"/>
                <w:szCs w:val="18"/>
              </w:rPr>
              <w:t xml:space="preserve">Commitment</w:t>
            </w:r>
          </w:p>
        </w:tc>
        <w:tc>
          <w:tcPr>
            <w:tcW w:type="dxa" w:w="2400"/>
            <w:shd w:fill="F2F2F2" w:val="clear"/>
          </w:tcPr>
          <w:p>
            <w:r>
              <w:rPr>
                <w:b/>
                <w:bCs/>
                <w:sz w:val="18"/>
                <w:szCs w:val="18"/>
              </w:rPr>
              <w:t xml:space="preserve">Specifics</w:t>
            </w:r>
          </w:p>
        </w:tc>
        <w:tc>
          <w:tcPr>
            <w:tcW w:type="dxa" w:w="900"/>
            <w:shd w:fill="F2F2F2" w:val="clear"/>
          </w:tcPr>
          <w:p>
            <w:r>
              <w:rPr>
                <w:b/>
                <w:bCs/>
                <w:sz w:val="18"/>
                <w:szCs w:val="18"/>
              </w:rPr>
              <w:t xml:space="preserve">By when</w:t>
            </w:r>
          </w:p>
        </w:tc>
        <w:tc>
          <w:tcPr>
            <w:tcW w:type="dxa" w:w="1200"/>
            <w:shd w:fill="F2F2F2" w:val="clear"/>
          </w:tcPr>
          <w:p>
            <w:r>
              <w:rPr>
                <w:b/>
                <w:bCs/>
                <w:sz w:val="18"/>
                <w:szCs w:val="18"/>
              </w:rPr>
              <w:t xml:space="preserve">Stage</w:t>
            </w:r>
          </w:p>
        </w:tc>
        <w:tc>
          <w:tcPr>
            <w:tcW w:type="dxa" w:w="800"/>
            <w:shd w:fill="F2F2F2" w:val="clear"/>
          </w:tcPr>
          <w:p>
            <w:r>
              <w:rPr>
                <w:b/>
                <w:bCs/>
                <w:sz w:val="18"/>
                <w:szCs w:val="18"/>
              </w:rPr>
              <w:t xml:space="preserve">Thesis-critical</w:t>
            </w:r>
          </w:p>
        </w:tc>
      </w:tr>
      <w:tr>
        <w:tc>
          <w:tcPr>
            <w:tcW w:type="dxa" w:w="11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capacity</w:t>
            </w:r>
          </w:p>
        </w:tc>
        <w:tc>
          <w:tcPr>
            <w:tcW w:type="dxa" w:w="26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Commission 2.2GW TOPCon G12R solar cell plant (full capacity simultaneously)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Kosi Kotwan, Mathura; targeted Sep 2026 (slipped from Aug)</w:t>
            </w:r>
          </w:p>
        </w:tc>
        <w:tc>
          <w:tcPr>
            <w:tcW w:type="dxa" w:w="9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6M</w:t>
            </w:r>
          </w:p>
        </w:tc>
        <w:tc>
          <w:tcPr>
            <w:tcW w:type="dxa" w:w="12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action</w:t>
            </w:r>
          </w:p>
        </w:tc>
        <w:tc>
          <w:tcPr>
            <w:tcW w:type="dxa" w:w="8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yes</w:t>
            </w:r>
          </w:p>
        </w:tc>
      </w:tr>
      <w:tr>
        <w:tc>
          <w:tcPr>
            <w:tcW w:type="dxa" w:w="11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margin</w:t>
            </w:r>
          </w:p>
        </w:tc>
        <w:tc>
          <w:tcPr>
            <w:tcW w:type="dxa" w:w="26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Blended-margin uplift from captive cells + DCR pricing premium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no quantified target; current module net margin ~8%</w:t>
            </w:r>
          </w:p>
        </w:tc>
        <w:tc>
          <w:tcPr>
            <w:tcW w:type="dxa" w:w="9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FY28</w:t>
            </w:r>
          </w:p>
        </w:tc>
        <w:tc>
          <w:tcPr>
            <w:tcW w:type="dxa" w:w="12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expectation</w:t>
            </w:r>
          </w:p>
        </w:tc>
        <w:tc>
          <w:tcPr>
            <w:tcW w:type="dxa" w:w="8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yes</w:t>
            </w:r>
          </w:p>
        </w:tc>
      </w:tr>
      <w:tr>
        <w:tc>
          <w:tcPr>
            <w:tcW w:type="dxa" w:w="11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balance_sheet</w:t>
            </w:r>
          </w:p>
        </w:tc>
        <w:tc>
          <w:tcPr>
            <w:tcW w:type="dxa" w:w="26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Rs 2,000 Cr borrowing authorisation to fund expansion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postal ballot 19-Jul-2026</w:t>
            </w:r>
          </w:p>
        </w:tc>
        <w:tc>
          <w:tcPr>
            <w:tcW w:type="dxa" w:w="9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12M</w:t>
            </w:r>
          </w:p>
        </w:tc>
        <w:tc>
          <w:tcPr>
            <w:tcW w:type="dxa" w:w="12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action</w:t>
            </w:r>
          </w:p>
        </w:tc>
        <w:tc>
          <w:tcPr>
            <w:tcW w:type="dxa" w:w="8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/>
            </w:r>
          </w:p>
        </w:tc>
      </w:tr>
    </w:tbl>
    <w:p>
      <w:pPr>
        <w:spacing w:after="60" w:before="120"/>
      </w:pPr>
      <w:r>
        <w:rPr>
          <w:b/>
          <w:bCs/>
          <w:sz w:val="20"/>
          <w:szCs w:val="20"/>
        </w:rPr>
        <w:t xml:space="preserve">Earnings chain: </w:t>
      </w:r>
      <w:r>
        <w:rPr>
          <w:b w:val="false"/>
          <w:bCs w:val="false"/>
          <w:sz w:val="20"/>
          <w:szCs w:val="20"/>
        </w:rPr>
        <w:t xml:space="preserve">DCR policy + module demand</w:t>
      </w:r>
      <w:r>
        <w:rPr>
          <w:color w:val="666666"/>
          <w:sz w:val="20"/>
          <w:szCs w:val="20"/>
        </w:rPr>
        <w:t xml:space="preserve"> → </w:t>
      </w:r>
      <w:r>
        <w:rPr>
          <w:b w:val="false"/>
          <w:bCs w:val="false"/>
          <w:sz w:val="20"/>
          <w:szCs w:val="20"/>
        </w:rPr>
        <w:t xml:space="preserve">module revenue growth (+32% Q1 FY27)</w:t>
      </w:r>
      <w:r>
        <w:rPr>
          <w:color w:val="666666"/>
          <w:sz w:val="20"/>
          <w:szCs w:val="20"/>
        </w:rPr>
        <w:t xml:space="preserve"> → </w:t>
      </w:r>
      <w:r>
        <w:rPr>
          <w:b w:val="false"/>
          <w:bCs w:val="false"/>
          <w:sz w:val="20"/>
          <w:szCs w:val="20"/>
        </w:rPr>
        <w:t xml:space="preserve">captive TOPCon cell supply (2.2GW, pending)</w:t>
      </w:r>
      <w:r>
        <w:rPr>
          <w:color w:val="666666"/>
          <w:sz w:val="20"/>
          <w:szCs w:val="20"/>
        </w:rPr>
        <w:t xml:space="preserve"> → </w:t>
      </w:r>
      <w:r>
        <w:rPr>
          <w:b w:val="false"/>
          <w:bCs w:val="false"/>
          <w:sz w:val="20"/>
          <w:szCs w:val="20"/>
        </w:rPr>
        <w:t xml:space="preserve">blended gross-margin uplift + DCR pricing premium</w:t>
      </w:r>
      <w:r>
        <w:rPr>
          <w:color w:val="666666"/>
          <w:sz w:val="20"/>
          <w:szCs w:val="20"/>
        </w:rPr>
        <w:t xml:space="preserve"> → </w:t>
      </w:r>
      <w:r>
        <w:rPr>
          <w:b w:val="false"/>
          <w:bCs w:val="false"/>
          <w:sz w:val="20"/>
          <w:szCs w:val="20"/>
        </w:rPr>
        <w:t xml:space="preserve">operating leverage vs stepped-up finance/depreciation/employee costs</w:t>
      </w:r>
      <w:r>
        <w:rPr>
          <w:color w:val="666666"/>
          <w:sz w:val="20"/>
          <w:szCs w:val="20"/>
        </w:rPr>
        <w:t xml:space="preserve"> → </w:t>
      </w:r>
      <w:r>
        <w:rPr>
          <w:b w:val="false"/>
          <w:bCs w:val="false"/>
          <w:sz w:val="20"/>
          <w:szCs w:val="20"/>
        </w:rPr>
        <w:t xml:space="preserve">PAT growth</w:t>
      </w:r>
      <w:r>
        <w:rPr>
          <w:color w:val="666666"/>
          <w:sz w:val="20"/>
          <w:szCs w:val="20"/>
        </w:rPr>
        <w:t xml:space="preserve"> → </w:t>
      </w:r>
      <w:r>
        <w:rPr>
          <w:b w:val="false"/>
          <w:bCs w:val="false"/>
          <w:sz w:val="20"/>
          <w:szCs w:val="20"/>
        </w:rPr>
        <w:t xml:space="preserve">cash conversion (currently negative)</w:t>
      </w:r>
    </w:p>
    <w:p>
      <w:pPr>
        <w:spacing w:after="120"/>
      </w:pPr>
      <w:r>
        <w:rPr>
          <w:color w:val="666666"/>
          <w:sz w:val="18"/>
          <w:szCs w:val="18"/>
        </w:rPr>
        <w:t xml:space="preserve">Bottleneck link: captive TOPCon cell supply (2.2GW, pending) -- plant not yet commissioned.</w:t>
      </w:r>
    </w:p>
    <w:p>
      <w:pPr>
        <w:spacing w:after="120"/>
      </w:pPr>
      <w:r>
        <w:rPr>
          <w:color w:val="666666"/>
          <w:sz w:val="18"/>
          <w:szCs w:val="18"/>
        </w:rPr>
        <w:t xml:space="preserve">Operating leverage: unclear -- Q1 FY27 showed negative leverage (PAT -5.7% on revenue +32%) as costs ran ahead of cell revenue</w:t>
      </w:r>
    </w:p>
    <w:p>
      <w:pPr>
        <w:spacing w:after="120"/>
      </w:pPr>
      <w:r>
        <w:rPr>
          <w:color w:val="666666"/>
          <w:sz w:val="18"/>
          <w:szCs w:val="18"/>
        </w:rPr>
        <w:t xml:space="preserve">Evidenced: DCR policy + module demand; module revenue growth (+32% Q1 FY27). Still assumed: captive TOPCon cell supply (2.2GW, pending); blended gross-margin uplift + DCR pricing premium; operating leverage vs stepped-up finance/depreciation/employee costs; PAT growth; cash conversion.</w:t>
      </w:r>
    </w:p>
    <w:p>
      <w:pPr>
        <w:spacing w:after="120"/>
      </w:pPr>
      <w:r>
        <w:rPr>
          <w:b/>
          <w:bCs/>
          <w:sz w:val="20"/>
          <w:szCs w:val="20"/>
        </w:rPr>
        <w:t xml:space="preserve">Market expectation vs. our path: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5800"/>
      </w:tblGrid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As of</w:t>
            </w:r>
          </w:p>
        </w:tc>
        <w:tc>
          <w:tcPr>
            <w:tcW w:type="dxa" w:w="5800"/>
          </w:tcPr>
          <w:p>
            <w:r>
              <w:t xml:space="preserve">2026-09-08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Price / multiple</w:t>
            </w:r>
          </w:p>
        </w:tc>
        <w:tc>
          <w:tcPr>
            <w:tcW w:type="dxa" w:w="5800"/>
          </w:tcPr>
          <w:p>
            <w:r>
              <w:t xml:space="preserve">Rs 938 · 11.9x P/E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Right valuation lens</w:t>
            </w:r>
          </w:p>
        </w:tc>
        <w:tc>
          <w:tcPr>
            <w:tcW w:type="dxa" w:w="5800"/>
          </w:tcPr>
          <w:p>
            <w:r>
              <w:t xml:space="preserve">P/E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Price implies</w:t>
            </w:r>
          </w:p>
        </w:tc>
        <w:tc>
          <w:tcPr>
            <w:tcW w:type="dxa" w:w="5800"/>
          </w:tcPr>
          <w:p>
            <w:r>
              <w:t xml:space="preserve">~0-10% EPS CAGR FY26-28 is all ~12x trailing needs at a ~10-12x cyclical exit -- the market is pricing little/no earnings growth from here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Our FY27</w:t>
            </w:r>
          </w:p>
        </w:tc>
        <w:tc>
          <w:tcPr>
            <w:tcW w:type="dxa" w:w="5800"/>
          </w:tcPr>
          <w:p>
            <w:r>
              <w:t xml:space="preserve">revenue +~25-35% (Rs 2,700-3,000 Cr) once cells ramp; PAT roughly flat to +15% given margin compression + finance costs (wide range on plant-ramp timing)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Our FY28</w:t>
            </w:r>
          </w:p>
        </w:tc>
        <w:tc>
          <w:tcPr>
            <w:tcW w:type="dxa" w:w="5800"/>
          </w:tcPr>
          <w:p>
            <w:r>
              <w:t xml:space="preserve">material upside IF 2.2GW cells run at DCR pricing (PAT could double); downside if module margins stay ~8% and leverage bites -- bimodal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Gap direction</w:t>
            </w:r>
          </w:p>
        </w:tc>
        <w:tc>
          <w:tcPr>
            <w:tcW w:type="dxa" w:w="5800"/>
          </w:tcPr>
          <w:p>
            <w:r>
              <w:t xml:space="preserve">partially-priced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Gap type</w:t>
            </w:r>
          </w:p>
        </w:tc>
        <w:tc>
          <w:tcPr>
            <w:tcW w:type="dxa" w:w="5800"/>
          </w:tcPr>
          <w:p>
            <w:r>
              <w:t xml:space="preserve">margin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Gap magnitude</w:t>
            </w:r>
          </w:p>
        </w:tc>
        <w:tc>
          <w:tcPr>
            <w:tcW w:type="dxa" w:w="5800"/>
          </w:tcPr>
          <w:p>
            <w:r>
              <w:t xml:space="preserve">not estimable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Gap basis</w:t>
            </w:r>
          </w:p>
        </w:tc>
        <w:tc>
          <w:tcPr>
            <w:tcW w:type="dxa" w:w="5800"/>
          </w:tcPr>
          <w:p>
            <w:r>
              <w:t xml:space="preserve">market prices near-zero growth (~12x); our base case is modest growth with bimodal upside from cell integration -- partly underpriced but the execution/leverage risk that justifies the low multiple is real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Evidence quality</w:t>
            </w:r>
          </w:p>
        </w:tc>
        <w:tc>
          <w:tcPr>
            <w:tcW w:type="dxa" w:w="5800"/>
          </w:tcPr>
          <w:p>
            <w:r>
              <w:t xml:space="preserve">weak</w:t>
            </w:r>
          </w:p>
        </w:tc>
      </w:tr>
    </w:tbl>
    <w:p>
      <w:pPr>
        <w:spacing w:after="120"/>
      </w:pPr>
      <w:r>
        <w:rPr>
          <w:i/>
          <w:iCs/>
          <w:color w:val="666666"/>
          <w:sz w:val="16"/>
          <w:szCs w:val="16"/>
        </w:rPr>
        <w:t xml:space="preserve">no broker consensus; implied path is a reverse-P/E estimate + screener.in forward figures + VP thread view</w:t>
      </w:r>
    </w:p>
    <w:p>
      <w:pPr>
        <w:spacing w:after="120" w:before="120"/>
      </w:pPr>
      <w:r>
        <w:rPr>
          <w:b/>
          <w:bCs/>
          <w:sz w:val="20"/>
          <w:szCs w:val="20"/>
        </w:rPr>
        <w:t xml:space="preserve">Catalyst: </w:t>
      </w:r>
      <w:r>
        <w:rPr>
          <w:sz w:val="20"/>
          <w:szCs w:val="20"/>
        </w:rPr>
        <w:t xml:space="preserve">2.2GW cell plant commissioning + ALMM List-II inclusion, then a quarter showing blended-margin uplift from captive cells</w:t>
      </w:r>
      <w:r>
        <w:rPr>
          <w:color w:val="666666"/>
          <w:sz w:val="18"/>
          <w:szCs w:val="18"/>
        </w:rPr>
        <w:t xml:space="preserve"> (window ~9M from 2026-09-08; dated; evidence med; pending)</w:t>
      </w:r>
    </w:p>
    <w:p>
      <w:pPr>
        <w:pStyle w:val="Heading1"/>
        <w:spacing w:after="120" w:before="280"/>
      </w:pPr>
      <w:r>
        <w:t xml:space="preserve">Ishmohit-Lens Checks (value chain · earnings quality · growth trajectory · management · quality metrics · track record · global-signal check)</w:t>
      </w:r>
    </w:p>
    <w:p>
      <w:pPr>
        <w:spacing w:after="120"/>
      </w:pPr>
      <w:r>
        <w:rPr>
          <w:i/>
          <w:iCs/>
          <w:color w:val="666666"/>
          <w:sz w:val="18"/>
          <w:szCs w:val="18"/>
        </w:rPr>
        <w:t xml:space="preserve">Extra checks drawn from @ishmohit1 / SOIC methodology (playbook/ishmohit-soic-style.md): where the company sits in its value chain and what the supply side is doing, whether a margin/PAT inflection is structural or a cyclical peak, the rate-of-change of growth vs. what the multiple demands, and management quality as a positive attribute.</w:t>
      </w:r>
    </w:p>
    <w:p>
      <w:pPr>
        <w:spacing w:after="120"/>
      </w:pPr>
      <w:r>
        <w:rPr>
          <w:b/>
          <w:bCs/>
          <w:sz w:val="20"/>
          <w:szCs w:val="20"/>
        </w:rPr>
        <w:t xml:space="preserve">Value chain &amp; supply side: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5800"/>
      </w:tblGrid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Theme</w:t>
            </w:r>
          </w:p>
        </w:tc>
        <w:tc>
          <w:tcPr>
            <w:tcW w:type="dxa" w:w="5800"/>
          </w:tcPr>
          <w:p>
            <w:r>
              <w:t xml:space="preserve">India solar-manufacturing localisation (DCR / ALMM); module + cell backward integration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This company's position</w:t>
            </w:r>
          </w:p>
        </w:tc>
        <w:tc>
          <w:tcPr>
            <w:tcW w:type="dxa" w:w="5800"/>
          </w:tcPr>
          <w:p>
            <w:r>
              <w:t xml:space="preserve">North India's largest module maker; adding 2.2GW TOPCon cells to move upstream and qualify for DCR/ALMM demand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Bottleneck node (pricing power)</w:t>
            </w:r>
          </w:p>
        </w:tc>
        <w:tc>
          <w:tcPr>
            <w:tcW w:type="dxa" w:w="5800"/>
          </w:tcPr>
          <w:p>
            <w:r>
              <w:t xml:space="preserve">domestic cell supply (industry-wide short of cells vs modules); ALMM List-II approvals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Supply-side status</w:t>
            </w:r>
          </w:p>
        </w:tc>
        <w:tc>
          <w:tcPr>
            <w:tcW w:type="dxa" w:w="5800"/>
          </w:tcPr>
          <w:p>
            <w:r>
              <w:t xml:space="preserve">adding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Adjacent-node peers</w:t>
            </w:r>
          </w:p>
        </w:tc>
        <w:tc>
          <w:tcPr>
            <w:tcW w:type="dxa" w:w="5800"/>
          </w:tcPr>
          <w:p>
            <w:r>
              <w:t xml:space="preserve">Waaree Energies, Premier Energies, Websol Energy System, Goldi Solar (unlisted)</w:t>
            </w:r>
          </w:p>
        </w:tc>
      </w:tr>
    </w:tbl>
    <w:p>
      <w:pPr>
        <w:spacing w:after="120"/>
      </w:pPr>
      <w:r>
        <w:rPr>
          <w:color w:val="666666"/>
          <w:sz w:val="18"/>
          <w:szCs w:val="18"/>
        </w:rPr>
        <w:t xml:space="preserve">Capital-cycle read: the whole industry is adding cell capacity into a DCR-created window -- late-cycle glut risk once domestic cell supply catches module capacity; the pricing premium is a policy artefact, not structural pricing power.</w:t>
      </w:r>
    </w:p>
    <w:p>
      <w:pPr>
        <w:spacing w:after="60" w:before="120"/>
      </w:pPr>
      <w:r>
        <w:rPr>
          <w:b/>
          <w:bCs/>
          <w:sz w:val="20"/>
          <w:szCs w:val="20"/>
        </w:rPr>
        <w:t xml:space="preserve">Earnings quality: </w:t>
      </w:r>
      <w:r>
        <w:rPr>
          <w:sz w:val="20"/>
          <w:szCs w:val="20"/>
        </w:rPr>
        <w:t xml:space="preserve">margin driver cyclical</w:t>
      </w:r>
      <w:r>
        <w:rPr>
          <w:b/>
          <w:bCs/>
          <w:color w:val="A32020"/>
          <w:sz w:val="20"/>
          <w:szCs w:val="20"/>
        </w:rPr>
        <w:t xml:space="preserve">  — PEAK-MARGIN RISK: do not capitalise current margins</w:t>
      </w:r>
    </w:p>
    <w:p>
      <w:pPr>
        <w:spacing w:after="120"/>
      </w:pPr>
      <w:r>
        <w:rPr>
          <w:color w:val="666666"/>
          <w:sz w:val="18"/>
          <w:szCs w:val="18"/>
        </w:rPr>
        <w:t xml:space="preserve">Drivers: DCR-anticipation module pricing / demand pull-forward; module ASP and polysilicon/cell input-cost swings; operating leverage on a fast-growing base (now reversing as costs step up).</w:t>
      </w:r>
    </w:p>
    <w:p>
      <w:pPr>
        <w:spacing w:after="120"/>
      </w:pPr>
      <w:r>
        <w:rPr>
          <w:color w:val="666666"/>
          <w:sz w:val="18"/>
          <w:szCs w:val="18"/>
        </w:rPr>
        <w:t xml:space="preserve">FY26 net margin ~9-11% is well above a through-cycle module-making level (~4-7%) and is a policy-window / demand-pull-forward peak; Q1 FY27 already compressed to 7.9%. Through-cycle margins are lower unless captive cells structurally lift the blend. Flagged as peak-margin risk.</w:t>
      </w:r>
    </w:p>
    <w:p>
      <w:pPr>
        <w:spacing w:after="60" w:before="120"/>
      </w:pPr>
      <w:r>
        <w:rPr>
          <w:b/>
          <w:bCs/>
          <w:sz w:val="20"/>
          <w:szCs w:val="20"/>
        </w:rPr>
        <w:t xml:space="preserve">Growth trajectory: </w:t>
      </w:r>
      <w:r>
        <w:rPr>
          <w:b/>
          <w:bCs/>
          <w:color w:val="A32020"/>
          <w:sz w:val="20"/>
          <w:szCs w:val="20"/>
        </w:rPr>
        <w:t xml:space="preserve">YoY growth rate is decelerating</w:t>
      </w:r>
    </w:p>
    <w:p>
      <w:pPr>
        <w:spacing w:after="120"/>
      </w:pPr>
      <w:r>
        <w:rPr>
          <w:color w:val="666666"/>
          <w:sz w:val="18"/>
          <w:szCs w:val="18"/>
        </w:rPr>
        <w:t xml:space="preserve">YoY revenue growth oldest-&gt;newest (approx): FY25 ~150%+, Q3 FY26 ~90%+, Q4 FY26 +105%, Q1 FY27 +32%; PAT YoY went from strongly positive to -5.7% in Q1 FY27</w:t>
      </w:r>
    </w:p>
    <w:p>
      <w:pPr>
        <w:spacing w:after="120"/>
      </w:pPr>
      <w:r>
        <w:rPr>
          <w:color w:val="666666"/>
          <w:sz w:val="18"/>
          <w:szCs w:val="18"/>
        </w:rPr>
        <w:t xml:space="preserve">Reverse P/E: ~12x trailing needs only flat-to-low EPS growth at a ~10-12x cyclical exit; the deceleration + margin compression means the multiple is roughly fair, with bimodal upside if cell integration lands.</w:t>
      </w:r>
    </w:p>
    <w:p>
      <w:pPr>
        <w:spacing w:after="120"/>
      </w:pPr>
      <w:r>
        <w:rPr>
          <w:b/>
          <w:bCs/>
          <w:sz w:val="20"/>
          <w:szCs w:val="20"/>
        </w:rPr>
        <w:t xml:space="preserve">Management quality (TVGP's "P"):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5800"/>
      </w:tblGrid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Assessment</w:t>
            </w:r>
          </w:p>
        </w:tc>
        <w:tc>
          <w:tcPr>
            <w:tcW w:type="dxa" w:w="5800"/>
          </w:tcPr>
          <w:p>
            <w:r>
              <w:t xml:space="preserve">neutral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Capital allocation</w:t>
            </w:r>
          </w:p>
        </w:tc>
        <w:tc>
          <w:tcPr>
            <w:tcW w:type="dxa" w:w="5800"/>
          </w:tcPr>
          <w:p>
            <w:r>
              <w:t xml:space="preserve">Reinvesting all cash plus heavy new debt into a single 2.2GW cell plant; 3yr incremental ROCE has been very high but FY26 turned FCF-negative (-Rs 116 Cr); no unrelated diversification; RPT and asset-disposal items on the Jul-2026 postal ballot to watch (neutral)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Related-party trend</w:t>
            </w:r>
          </w:p>
        </w:tc>
        <w:tc>
          <w:tcPr>
            <w:tcW w:type="dxa" w:w="5800"/>
          </w:tcPr>
          <w:p>
            <w:r>
              <w:t xml:space="preserve">unclear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Guidance credibility</w:t>
            </w:r>
          </w:p>
        </w:tc>
        <w:tc>
          <w:tcPr>
            <w:tcW w:type="dxa" w:w="5800"/>
          </w:tcPr>
          <w:p>
            <w:r>
              <w:t xml:space="preserve">reliable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Shareholder returns</w:t>
            </w:r>
          </w:p>
        </w:tc>
        <w:tc>
          <w:tcPr>
            <w:tcW w:type="dxa" w:w="5800"/>
          </w:tcPr>
          <w:p>
            <w:r>
              <w:t xml:space="preserve">none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Capability ladder / VAP</w:t>
            </w:r>
          </w:p>
        </w:tc>
        <w:tc>
          <w:tcPr>
            <w:tcW w:type="dxa" w:w="5800"/>
          </w:tcPr>
          <w:p>
            <w:r>
              <w:t xml:space="preserve">Explicitly moving up the value chain from modules into TOPCon cell manufacturing (G12R) and pursuing ALMM List-II</w:t>
            </w:r>
          </w:p>
        </w:tc>
      </w:tr>
    </w:tbl>
    <w:p>
      <w:pPr>
        <w:spacing w:after="120"/>
      </w:pPr>
      <w:r>
        <w:rPr>
          <w:b/>
          <w:bCs/>
          <w:sz w:val="20"/>
          <w:szCs w:val="20"/>
        </w:rPr>
        <w:t xml:space="preserve">Quality metrics (ROCE · debt · FCF · margin · capex):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5800"/>
      </w:tblGrid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Assessment</w:t>
            </w:r>
          </w:p>
        </w:tc>
        <w:tc>
          <w:tcPr>
            <w:tcW w:type="dxa" w:w="5800"/>
          </w:tcPr>
          <w:p>
            <w:r>
              <w:t xml:space="preserve">concern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ROCE</w:t>
            </w:r>
          </w:p>
        </w:tc>
        <w:tc>
          <w:tcPr>
            <w:tcW w:type="dxa" w:w="5800"/>
          </w:tcPr>
          <w:p>
            <w:r>
              <w:t xml:space="preserve">43.5% (stable)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Leverage</w:t>
            </w:r>
          </w:p>
        </w:tc>
        <w:tc>
          <w:tcPr>
            <w:tcW w:type="dxa" w:w="5800"/>
          </w:tcPr>
          <w:p>
            <w:r>
              <w:t xml:space="preserve">Net debt/EBITDA 1.6x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FCF conversion</w:t>
            </w:r>
          </w:p>
        </w:tc>
        <w:tc>
          <w:tcPr>
            <w:tcW w:type="dxa" w:w="5800"/>
          </w:tcPr>
          <w:p>
            <w:r>
              <w:t xml:space="preserve">-60%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Margin trend</w:t>
            </w:r>
          </w:p>
        </w:tc>
        <w:tc>
          <w:tcPr>
            <w:tcW w:type="dxa" w:w="5800"/>
          </w:tcPr>
          <w:p>
            <w:r>
              <w:t xml:space="preserve">contracting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Capex efficiency</w:t>
            </w:r>
          </w:p>
        </w:tc>
        <w:tc>
          <w:tcPr>
            <w:tcW w:type="dxa" w:w="5800"/>
          </w:tcPr>
          <w:p>
            <w:r>
              <w:t xml:space="preserve">unclear</w:t>
            </w:r>
          </w:p>
        </w:tc>
      </w:tr>
    </w:tbl>
    <w:p>
      <w:pPr>
        <w:spacing w:after="60" w:before="120"/>
      </w:pPr>
      <w:r>
        <w:rPr>
          <w:b/>
          <w:bCs/>
          <w:sz w:val="20"/>
          <w:szCs w:val="20"/>
        </w:rPr>
        <w:t xml:space="preserve">Track record (Coffee Can persistence check): </w:t>
      </w:r>
      <w:r>
        <w:rPr>
          <w:sz w:val="20"/>
          <w:szCs w:val="20"/>
        </w:rPr>
        <w:t xml:space="preserve">cleared revenue growth ≥10% AND ROCE ≥15% in 3 of the last 3 years (consistency_score 100)</w:t>
      </w:r>
    </w:p>
    <w:p>
      <w:pPr>
        <w:spacing w:after="120"/>
      </w:pPr>
      <w:r>
        <w:rPr>
          <w:color w:val="666666"/>
          <w:sz w:val="18"/>
          <w:szCs w:val="18"/>
        </w:rPr>
        <w:t xml:space="preserve">FY24-FY26: revenue growth cleared &gt;=10% every year by a wide margin (3yr sales CAGR ~125%) and ROCE was well above 15% each year (FY26 43.5%). All three verifiable years pass -- but the returns are policy/cycle-aided and FY26 was FCF-negative, so the clean pass overstates through-cycle quality.</w:t>
      </w:r>
    </w:p>
    <w:p>
      <w:pPr>
        <w:pStyle w:val="Heading1"/>
        <w:spacing w:after="120" w:before="280"/>
      </w:pPr>
      <w:r>
        <w:t xml:space="preserve">Technical Read (Weekly / Monthly MACD + Bollinger Bands, or RSI/CCI/Williams %R proxy)</w:t>
      </w:r>
    </w:p>
    <w:p>
      <w:pPr>
        <w:spacing w:after="120"/>
      </w:pPr>
      <w:r>
        <w:t xml:space="preserve">Not pulled this pass.</w:t>
      </w:r>
    </w:p>
    <w:p>
      <w:pPr>
        <w:pStyle w:val="Heading1"/>
        <w:spacing w:after="120" w:before="280"/>
      </w:pPr>
      <w:r>
        <w:t xml:space="preserve">ValuePickr Community Signal</w:t>
      </w:r>
    </w:p>
    <w:p>
      <w:pPr>
        <w:spacing w:after="120"/>
      </w:pPr>
      <w:r>
        <w:t xml:space="preserve">Read all 19 posts in the thread (2025-08 to 2026-08). Central catalyst: a Jun 2026 government policy requiring EPC players to use India-made modules with India-made cells (DCR), targeting the ~50GW of Indian module capacity that currently imports Chinese cells. Alpex is building a 2.2GW TOPCon cell facility to capture this. Management has consistently delivered on guided revenue-doubling since IPO.</w:t>
      </w:r>
    </w:p>
    <w:p>
      <w:pPr>
        <w:spacing w:after="120"/>
      </w:pPr>
      <w:r>
        <w:rPr>
          <w:b/>
          <w:bCs/>
          <w:sz w:val="20"/>
          <w:szCs w:val="20"/>
        </w:rPr>
        <w:t xml:space="preserve">High-conviction call from a top contributor: </w:t>
      </w:r>
      <w:r>
        <w:rPr>
          <w:sz w:val="20"/>
          <w:szCs w:val="20"/>
        </w:rPr>
        <w:t xml:space="preserve">No trusted users in this thread, but the non-trusted debate is unusually well-informed and adversarial in a useful way: vikas_chandrawat (invested, 1.5yr holder) flagged receivables growing faster than revenue and rising interest costs as balance-sheet stress; a live, unresolved dispute (Aug 2026) over whether the new cell facility's environmental clearance covers 1.6GW or the company-claimed 2.2GW -- a real execution-credibility question.</w:t>
      </w:r>
    </w:p>
    <w:p>
      <w:pPr>
        <w:pStyle w:val="Heading1"/>
        <w:spacing w:after="120" w:before="280"/>
      </w:pPr>
      <w:r>
        <w:t xml:space="preserve">BSE Corporate Actions / Other Red Flags</w:t>
      </w:r>
    </w:p>
    <w:p>
      <w:pPr>
        <w:spacing w:after="120"/>
      </w:pPr>
      <w:r>
        <w:t xml:space="preserve">21-Jul-2026: minor fire at the Mathura cell factory, no injuries, insured, operations resumed. 19-Jul-2026: postal-ballot notice for director appointment, Rs 2,000 Cr borrowing authorisation, asset disposal and related-party transactions. Cell plant ALMM List-II application filed with MNRE.</w:t>
      </w:r>
    </w:p>
    <w:p>
      <w:pPr>
        <w:pStyle w:val="Heading1"/>
        <w:spacing w:after="120" w:before="280"/>
      </w:pPr>
      <w:r>
        <w:t xml:space="preserve">Bull Case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Specific, quantified DCR policy catalyst (Jun 2026) directly targets the exact gap Alpex is filling via backward integration into TOPCon cells; ALMM List-II application filed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Consistent execution track record -- management has delivered on guided revenue-doubling every year since IPO; 3yr sales CAGR ~125%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Cheap on headline (~12x trailing P/E, ~4.3x book) for a 40%+ ROCE / 50%+ ROE grower -- market is not pricing in a successful cell-integration margin uplift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Promoters carry no pledge/encumbrance (declared FY26); debtor days improved to 42 from 63</w:t>
      </w:r>
    </w:p>
    <w:p>
      <w:pPr>
        <w:pStyle w:val="Heading1"/>
        <w:spacing w:after="120" w:before="280"/>
      </w:pPr>
      <w:r>
        <w:t xml:space="preserve">Bear Case / Key Risks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Earnings are at a policy-window / cycle peak and already compressing: Q1 FY27 PAT -5.7% YoY, net margin 7.9% vs 11.1%, on a commoditising module business exposed to Chinese cell oversupply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Leverage ramping hard: borrowings Rs 537 Cr, D/E ~0.87x, finance costs +350% YoY, and a Rs 2,000 Cr further borrowing authorisation sought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FY26 operating cash flow -Rs 116 Cr -- growth is cash-consumptive and reported ROE overstates economic returns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Cell plant slipped again (Aug -&gt; Sep 2026) on imported-machine issues + a July fire; EC-capacity dispute (1.6GW vs claimed 2.2GW) unresolved; no structural moat beyond policy protection</w:t>
      </w:r>
    </w:p>
    <w:p>
      <w:pPr>
        <w:pStyle w:val="Heading1"/>
        <w:spacing w:after="120" w:before="280"/>
      </w:pPr>
      <w:r>
        <w:t xml:space="preserve">Market-Cap Tier (informational — not a gate in this project)</w:t>
      </w:r>
    </w:p>
    <w:p>
      <w:pPr>
        <w:spacing w:after="120"/>
      </w:pPr>
      <w:r>
        <w:rPr>
          <w:b/>
          <w:bCs/>
        </w:rPr>
        <w:t xml:space="preserve">Small-cap (~Rs 2,396 Cr)</w:t>
      </w:r>
    </w:p>
    <w:p>
      <w:pPr>
        <w:pStyle w:val="Heading1"/>
        <w:spacing w:after="120" w:before="280"/>
      </w:pPr>
      <w:r>
        <w:t xml:space="preserve">Thesis Fit</w:t>
      </w:r>
    </w:p>
    <w:p>
      <w:pPr>
        <w:spacing w:after="120"/>
      </w:pPr>
      <w:r>
        <w:rPr>
          <w:b/>
          <w:bCs/>
          <w:sz w:val="24"/>
          <w:szCs w:val="24"/>
        </w:rPr>
        <w:t xml:space="preserve">10x-in-2-3-years</w:t>
      </w:r>
    </w:p>
    <w:p>
      <w:pPr>
        <w:spacing w:after="120"/>
      </w:pPr>
      <w:r>
        <w:rPr>
          <w:color w:val="666666"/>
          <w:sz w:val="20"/>
          <w:szCs w:val="20"/>
        </w:rPr>
        <w:t xml:space="preserve">4-box gate — tailwind: yes · TAM: weak · moat: weak · valuation: weak  (score 2.5 / 4)</w:t>
      </w:r>
    </w:p>
    <w:p>
      <w:pPr>
        <w:spacing w:after="120"/>
      </w:pPr>
      <w:r>
        <w:rPr>
          <w:i/>
          <w:iCs/>
          <w:color w:val="666666"/>
          <w:sz w:val="20"/>
          <w:szCs w:val="20"/>
        </w:rPr>
        <w:t xml:space="preserve">tailwind yes -- Jun-2026 DCR policy + India solar-manufacturing push + ALMM is a real multi-year (policy-dependent) tailwind; tam weak -- large end-market but commodity module/cell economics and Chinese oversupply cap the profit headroom for a 10x off Rs 2,400 Cr; moat weak -- policy-protected capacity fill (ALMM/DCR), no structural cost or technology edge, TOPCon is table-stakes; valuation weak -- ~12x trailing P/E looks cheap but the earnings are at a policy/cycle peak already compressing and FCF is negative, so the low multiple is partly a cyclicality/leverage discount. Score 2.5 -&gt; thesis_fit '10x-in-2-3-years' retained only via the written un-ignorable-growth exception in verdict_reasoning; conviction caps at Medium.</w:t>
      </w:r>
    </w:p>
    <w:p>
      <w:pPr>
        <w:pStyle w:val="Heading1"/>
        <w:spacing w:after="120" w:before="280"/>
      </w:pPr>
      <w:r>
        <w:t xml:space="preserve">Verdict</w:t>
      </w:r>
    </w:p>
    <w:p>
      <w:pPr>
        <w:spacing w:after="120"/>
      </w:pPr>
      <w:r>
        <w:rPr>
          <w:b/>
          <w:bCs/>
          <w:sz w:val="24"/>
          <w:szCs w:val="24"/>
        </w:rPr>
        <w:t xml:space="preserve">A specific, well-timed DCR policy catalyst and un-ignorable growth at ~12x earnings, offset by peak-margin compression, a fast-ramping balance sheet, cash burn and a twice-slipped cell plant -- label kept via the growth exception, conviction capped at Medium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The DCR policy catalyst and backward-integration strategy are specific and credible, and management's delivery track record is real (3yr sales CAGR ~125%).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four_box score is 2.5 (tam / moat / valuation all weak on commodity economics, thin moat and peak-cycle earnings), so thesis_fit '10x-in-2-3-years' is retained ONLY under the written exception -- un-ignorable growth (~125% 3yr sales CAGR) trading at ~12x trailing P/E -- which caps conviction at Medium with an execution-dependent caveat.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Conviction held at Medium: the FY26 pledge-clean confirmation and improved debtor days are offset by current, unresolved risks -- Q1 FY27 margin compression and negative FY26 operating cash flow, a finance-cost line up 350%, a Rs 2,000 Cr borrowing authorisation, a twice-delayed cell plant, and the unresolved EC-capacity dispute.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No formal red flag (no negative net worth, no SEBI action, no pledge); the concerns are execution and capital-intensity, not governance.</w:t>
      </w:r>
    </w:p>
    <w:p>
      <w:pPr>
        <w:pBdr>
          <w:top w:val="single" w:color="CCCCCC" w:sz="6" w:space="8"/>
        </w:pBdr>
        <w:spacing w:before="300"/>
      </w:pPr>
      <w:r>
        <w:rPr>
          <w:i/>
          <w:iCs/>
          <w:color w:val="666666"/>
          <w:sz w:val="18"/>
          <w:szCs w:val="18"/>
        </w:rPr>
        <w:t xml:space="preserve">This is independent research and analysis for informational purposes only, not personalized financial or investment advice. Past multi-bagger performance and forum/social sentiment are not indicators of future returns. Do your own due diligence before investing.</w:t>
      </w:r>
    </w:p>
    <w:sectPr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2026-09-08T07:01:54.487Z</dcterms:created>
  <dcterms:modified xsi:type="dcterms:W3CDTF">2026-09-08T07:01:54.493Z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