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INOX Wind Ltd</w:t>
      </w:r>
    </w:p>
    <w:p>
      <w:pPr>
        <w:pBdr>
          <w:bottom w:val="single" w:color="CCCCCC" w:sz="6" w:space="8"/>
        </w:pBdr>
        <w:spacing w:after="200"/>
      </w:pPr>
      <w:r>
        <w:rPr>
          <w:i/>
          <w:iCs/>
          <w:color w:val="666666"/>
          <w:sz w:val="22"/>
          <w:szCs w:val="22"/>
        </w:rPr>
        <w:t xml:space="preserve">Wind-turbine OEM that has turned profitable after the 2016-22 sector downturn, with a 3.3-3.5 GW order book and many new IPPs entering the market - but a history of significant long-term wealth destruction, ~5.7% ROE, management strategy flip-flops (anti-solar then into solar), the ISTS-charge waiver ending, and a post-Gensol sector de-rating</w:t>
      </w:r>
    </w:p>
    <w:p>
      <w:pPr>
        <w:pStyle w:val="Heading1"/>
        <w:spacing w:after="120" w:before="280"/>
      </w:pPr>
      <w:r>
        <w:t xml:space="preserve">Business Overview</w:t>
      </w:r>
    </w:p>
    <w:p>
      <w:pPr>
        <w:spacing w:after="120"/>
      </w:pPr>
      <w:r>
        <w:t xml:space="preserve">Manufacturer of wind turbine generators (3 MW class) with in-house blades, towers and nacelles, plus EPC and (via Inox Green) O&amp;M of installed capacity. Emerged from years of losses during the wind downturn; FY24-FY26 profitable with a 3.3-3.5 GW order book and strong inflows as the customer base broadened from 2-3 developers to 15-20 IPPs plus PSUs. Merger of Inox Wind Energy (IWEL) into Inox Wind (IWL) completed June 2025. The promoter group separately entered solar module manufacturing (via a private entity, Inox Solar) - a reversal of management's earlier 'solar is commoditised, wind is not' stance - and is channelling capital toward Inox Green and solar. (Source: forum discovery, first_seen 2026-09-07; wind equipment is not a current active_themes.json entry.)</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12,858 Cr (down ~49% over 1 year)</w:t>
            </w:r>
          </w:p>
        </w:tc>
      </w:tr>
      <w:tr>
        <w:tc>
          <w:tcPr>
            <w:tcW w:type="dxa" w:w="3200"/>
            <w:shd w:fill="F2F2F2" w:val="clear"/>
          </w:tcPr>
          <w:p>
            <w:r>
              <w:rPr>
                <w:b/>
                <w:bCs/>
              </w:rPr>
              <w:t xml:space="preserve">52-week range</w:t>
            </w:r>
          </w:p>
        </w:tc>
        <w:tc>
          <w:tcPr>
            <w:tcW w:type="dxa" w:w="5800"/>
          </w:tcPr>
          <w:p>
            <w:r>
              <w:t xml:space="preserve">~Rs 74.9 - Rs 186.1</w:t>
            </w:r>
          </w:p>
        </w:tc>
      </w:tr>
      <w:tr>
        <w:tc>
          <w:tcPr>
            <w:tcW w:type="dxa" w:w="3200"/>
            <w:shd w:fill="F2F2F2" w:val="clear"/>
          </w:tcPr>
          <w:p>
            <w:r>
              <w:rPr>
                <w:b/>
                <w:bCs/>
              </w:rPr>
              <w:t xml:space="preserve">ROE</w:t>
            </w:r>
          </w:p>
        </w:tc>
        <w:tc>
          <w:tcPr>
            <w:tcW w:type="dxa" w:w="5800"/>
          </w:tcPr>
          <w:p>
            <w:r>
              <w:t xml:space="preserve">~5.7% (Mar-26); 3-yr ~7.0%</w:t>
            </w:r>
          </w:p>
        </w:tc>
      </w:tr>
      <w:tr>
        <w:tc>
          <w:tcPr>
            <w:tcW w:type="dxa" w:w="3200"/>
            <w:shd w:fill="F2F2F2" w:val="clear"/>
          </w:tcPr>
          <w:p>
            <w:r>
              <w:rPr>
                <w:b/>
                <w:bCs/>
              </w:rPr>
              <w:t xml:space="preserve">Revenue growth</w:t>
            </w:r>
          </w:p>
        </w:tc>
        <w:tc>
          <w:tcPr>
            <w:tcW w:type="dxa" w:w="5800"/>
          </w:tcPr>
          <w:p>
            <w:r>
              <w:t xml:space="preserve">Revenue CAGR ~36%; recent FY revenue ~Rs 4,385 Cr, profit ~Rs 417 Cr</w:t>
            </w:r>
          </w:p>
        </w:tc>
      </w:tr>
      <w:tr>
        <w:tc>
          <w:tcPr>
            <w:tcW w:type="dxa" w:w="3200"/>
            <w:shd w:fill="F2F2F2" w:val="clear"/>
          </w:tcPr>
          <w:p>
            <w:r>
              <w:rPr>
                <w:b/>
                <w:bCs/>
              </w:rPr>
              <w:t xml:space="preserve">Balance sheet</w:t>
            </w:r>
          </w:p>
        </w:tc>
        <w:tc>
          <w:tcPr>
            <w:tcW w:type="dxa" w:w="5800"/>
          </w:tcPr>
          <w:p>
            <w:r>
              <w:t xml:space="preserve">Materially deleveraged vs the downturn years; CRISIL outlook revised to 'Positive' (Feb-25)</w:t>
            </w:r>
          </w:p>
        </w:tc>
      </w:tr>
      <w:tr>
        <w:tc>
          <w:tcPr>
            <w:tcW w:type="dxa" w:w="3200"/>
            <w:shd w:fill="F2F2F2" w:val="clear"/>
          </w:tcPr>
          <w:p>
            <w:r>
              <w:rPr>
                <w:b/>
                <w:bCs/>
              </w:rPr>
              <w:t xml:space="preserve">Valuation</w:t>
            </w:r>
          </w:p>
        </w:tc>
        <w:tc>
          <w:tcPr>
            <w:tcW w:type="dxa" w:w="5800"/>
          </w:tcPr>
          <w:p>
            <w:r>
              <w:t xml:space="preserve">P/E ~31x on ~Rs 417 Cr PAT - not cheap for a cyclical capital-goods OEM with ~5.7% ROE</w:t>
            </w:r>
          </w:p>
        </w:tc>
      </w:tr>
    </w:tbl>
    <w:p>
      <w:pPr>
        <w:spacing w:after="100"/>
      </w:pPr>
    </w:p>
    <w:p>
      <w:pPr>
        <w:spacing w:after="120"/>
      </w:pPr>
      <w:r>
        <w:t xml:space="preserve">The turnaround is genuine on the top line and order book - India needs several GW of wind additions per year, IPP participation has widened, and the balance sheet is far healthier than in the loss years. But the quality metrics lag badly: ~5.7% ROE, a P/E of ~31x, and a stock down ~49% in a year as the whole renewable-EPC/OEM complex de-rated (partly Gensol-contagion, partly the end of the interstate transmission (ISTS) charge waiver for projects commissioned after mid-2025, which raises project costs). Forum members increasingly argue there is 'no moat left' across wind/solar EPC and cell manufacturing, and management's abrupt pivot from anti-solar to pro-solar (plus pushing capital into Inox Green) has dented confidence. This is a cyclical, capital-intensive OEM with a poor long-term shareholder-return record, not a durable compounder.</w:t>
      </w:r>
    </w:p>
    <w:p>
      <w:pPr>
        <w:pStyle w:val="Heading1"/>
        <w:spacing w:after="120" w:before="280"/>
      </w:pPr>
      <w:r>
        <w:t xml:space="preserve">Technical Read (Weekly / Monthly MACD + Bollinger Bands, or RSI/CCI/Williams %R proxy)</w:t>
      </w:r>
    </w:p>
    <w:p>
      <w:pPr>
        <w:spacing w:after="120"/>
      </w:pPr>
      <w:r>
        <w:t xml:space="preserve">Not pulled - down ~49% over a year is already known; the call rests on returns quality and management consistency.</w:t>
      </w:r>
    </w:p>
    <w:p>
      <w:pPr>
        <w:pStyle w:val="Heading1"/>
        <w:spacing w:after="120" w:before="280"/>
      </w:pPr>
      <w:r>
        <w:t xml:space="preserve">ValuePickr Community Signal</w:t>
      </w:r>
    </w:p>
    <w:p>
      <w:pPr>
        <w:spacing w:after="120"/>
      </w:pPr>
      <w:r>
        <w:t xml:space="preserve">346-post thread. The FY24-25 stretch was optimistic (best-ever quarters, 3.3 GW order book, merger arbitrage discussion, CRISIL 'Positive'). Sentiment then soured: the solar foray was called 'a desperate move' / 'diworsification' (Pujan_Shah), the ISTS-waiver expiry was flagged as a cost headwind (idikasony), and PRATEEK_CHANDRA argued the whole renewables complex has been derated with 'no moat left' post-Gensol. The most recent post (Sep-26, Deven) explicitly asks long-term holders for 'lessons/red flags' given the company 'has destroyed significant wealth for long-term investors in the past'.</w:t>
      </w:r>
    </w:p>
    <w:p>
      <w:pPr>
        <w:spacing w:after="120"/>
      </w:pPr>
      <w:r>
        <w:rPr>
          <w:b/>
          <w:bCs/>
          <w:sz w:val="20"/>
          <w:szCs w:val="20"/>
        </w:rPr>
        <w:t xml:space="preserve">High-conviction call from a top contributor: </w:t>
      </w:r>
      <w:r>
        <w:rPr>
          <w:sz w:val="20"/>
          <w:szCs w:val="20"/>
        </w:rPr>
        <w:t xml:space="preserve">karanshah137 (trusted, elevated) posted Q3FY26 numbers factually ('posted good Q3FY26 numbers', an interesting slide from the presentation) - informational, not a directional conviction call. Net community tenor has shifted from bullish to wary.</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2026-02-13 — karanshah137</w:t>
      </w:r>
      <w:r>
        <w:rPr>
          <w:i/>
          <w:iCs/>
          <w:color w:val="666666"/>
          <w:sz w:val="18"/>
          <w:szCs w:val="18"/>
        </w:rPr>
        <w:t xml:space="preserve"> (INOX Wind)</w:t>
      </w:r>
      <w:r>
        <w:rPr>
          <w:sz w:val="20"/>
          <w:szCs w:val="20"/>
        </w:rPr>
        <w:br/>
        <w:t xml:space="preserve">: Factual note that Inox Wind 'posted good Q3FY26 numbers' with an interesting slide from the investor presentation. Informational only - not a directional 10x call. Elevated tier, not core.</w:t>
      </w:r>
    </w:p>
    <w:p>
      <w:pPr>
        <w:pStyle w:val="Heading1"/>
        <w:spacing w:after="120" w:before="280"/>
      </w:pPr>
      <w:r>
        <w:t xml:space="preserve">BSE Corporate Actions / Other Red Flags</w:t>
      </w:r>
    </w:p>
    <w:p>
      <w:pPr>
        <w:spacing w:after="120"/>
      </w:pPr>
      <w:r>
        <w:t xml:space="preserve">No SEBI or fraud action found. Merger of IWEL into IWL completed June 2025. Promoter group's solar entry is via a separate private entity (Inox Solar), not Inox Wind's balance sheet. Long history (2016-22) of losses and shareholder wealth destruction; management has changed strategic stance on solar within a few quarters.</w:t>
      </w:r>
    </w:p>
    <w:p>
      <w:pPr>
        <w:pStyle w:val="Heading1"/>
        <w:spacing w:after="120" w:before="280"/>
      </w:pPr>
      <w:r>
        <w:t xml:space="preserve">Bull Case</w:t>
      </w:r>
    </w:p>
    <w:p>
      <w:pPr>
        <w:pStyle w:val="ListParagraph"/>
        <w:numPr>
          <w:ilvl w:val="0"/>
          <w:numId w:val="1"/>
        </w:numPr>
        <w:spacing w:after="60"/>
      </w:pPr>
      <w:r>
        <w:t xml:space="preserve">Genuine turnaround - FY24-FY26 profitable, 3.3-3.5 GW order book, strong inflows, deleveraged, CRISIL outlook 'Positive'</w:t>
      </w:r>
    </w:p>
    <w:p>
      <w:pPr>
        <w:pStyle w:val="ListParagraph"/>
        <w:numPr>
          <w:ilvl w:val="0"/>
          <w:numId w:val="1"/>
        </w:numPr>
        <w:spacing w:after="60"/>
      </w:pPr>
      <w:r>
        <w:t xml:space="preserve">Structural India wind-capacity-addition tailwind and a much broader IPP/PSU customer base than the last cycle</w:t>
      </w:r>
    </w:p>
    <w:p>
      <w:pPr>
        <w:pStyle w:val="ListParagraph"/>
        <w:numPr>
          <w:ilvl w:val="0"/>
          <w:numId w:val="1"/>
        </w:numPr>
        <w:spacing w:after="60"/>
      </w:pPr>
      <w:r>
        <w:t xml:space="preserve">In-house blades/towers/nacelles plus captive O&amp;M via Inox Green - vertical integration</w:t>
      </w:r>
    </w:p>
    <w:p>
      <w:pPr>
        <w:pStyle w:val="ListParagraph"/>
        <w:numPr>
          <w:ilvl w:val="0"/>
          <w:numId w:val="1"/>
        </w:numPr>
        <w:spacing w:after="60"/>
      </w:pPr>
      <w:r>
        <w:t xml:space="preserve">Stock down ~49% from its 1-year high resets expectations</w:t>
      </w:r>
    </w:p>
    <w:p>
      <w:pPr>
        <w:pStyle w:val="Heading1"/>
        <w:spacing w:after="120" w:before="280"/>
      </w:pPr>
      <w:r>
        <w:t xml:space="preserve">Bear Case / Key Risks</w:t>
      </w:r>
    </w:p>
    <w:p>
      <w:pPr>
        <w:pStyle w:val="ListParagraph"/>
        <w:numPr>
          <w:ilvl w:val="0"/>
          <w:numId w:val="1"/>
        </w:numPr>
        <w:spacing w:after="60"/>
      </w:pPr>
      <w:r>
        <w:t xml:space="preserve">Poor returns quality - ~5.7% ROE - on a ~31x P/E; capital-intensive and cyclical</w:t>
      </w:r>
    </w:p>
    <w:p>
      <w:pPr>
        <w:pStyle w:val="ListParagraph"/>
        <w:numPr>
          <w:ilvl w:val="0"/>
          <w:numId w:val="1"/>
        </w:numPr>
        <w:spacing w:after="60"/>
      </w:pPr>
      <w:r>
        <w:t xml:space="preserve">Long track record of destroying long-term shareholder value; forum's own holders asking for 'red flags'</w:t>
      </w:r>
    </w:p>
    <w:p>
      <w:pPr>
        <w:pStyle w:val="ListParagraph"/>
        <w:numPr>
          <w:ilvl w:val="0"/>
          <w:numId w:val="1"/>
        </w:numPr>
        <w:spacing w:after="60"/>
      </w:pPr>
      <w:r>
        <w:t xml:space="preserve">Management strategy inconsistency - anti-solar then into solar; capital being pushed toward Inox Green</w:t>
      </w:r>
    </w:p>
    <w:p>
      <w:pPr>
        <w:pStyle w:val="ListParagraph"/>
        <w:numPr>
          <w:ilvl w:val="0"/>
          <w:numId w:val="1"/>
        </w:numPr>
        <w:spacing w:after="60"/>
      </w:pPr>
      <w:r>
        <w:t xml:space="preserve">End of the ISTS-charge waiver raises project costs; post-Gensol sector de-rating with 'no moat left' in wind/solar EPC</w:t>
      </w:r>
    </w:p>
    <w:p>
      <w:pPr>
        <w:pStyle w:val="ListParagraph"/>
        <w:numPr>
          <w:ilvl w:val="0"/>
          <w:numId w:val="1"/>
        </w:numPr>
        <w:spacing w:after="60"/>
      </w:pPr>
      <w:r>
        <w:t xml:space="preserve">At ~Rs 12,858 Cr with weak ROE, no credible 10x-in-2-3-years or 100x-in-10-years path</w:t>
      </w:r>
    </w:p>
    <w:p>
      <w:pPr>
        <w:pStyle w:val="Heading1"/>
        <w:spacing w:after="120" w:before="280"/>
      </w:pPr>
      <w:r>
        <w:t xml:space="preserve">Market-Cap Tier (informational — not a gate in this project)</w:t>
      </w:r>
    </w:p>
    <w:p>
      <w:pPr>
        <w:spacing w:after="120"/>
      </w:pPr>
      <w:r>
        <w:rPr>
          <w:b/>
          <w:bCs/>
        </w:rPr>
        <w:t xml:space="preserve">Mid/Large-cap (~Rs 12,858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weak · moat: weak · valuation: no  (score 2 / 4)</w:t>
      </w:r>
    </w:p>
    <w:p>
      <w:pPr>
        <w:spacing w:after="120"/>
      </w:pPr>
      <w:r>
        <w:rPr>
          <w:i/>
          <w:iCs/>
          <w:color w:val="666666"/>
          <w:sz w:val="20"/>
          <w:szCs w:val="20"/>
        </w:rPr>
        <w:t xml:space="preserve">Genuine India-wind volume tailwind, but a large, capital-intensive OEM with ~5.7% ROE on a ~31x P/E, a commoditising competitive set, a poor long-term record and strategically inconsistent management</w:t>
      </w:r>
    </w:p>
    <w:p>
      <w:pPr>
        <w:pStyle w:val="Heading1"/>
        <w:spacing w:after="120" w:before="280"/>
      </w:pPr>
      <w:r>
        <w:t xml:space="preserve">Verdict</w:t>
      </w:r>
    </w:p>
    <w:p>
      <w:pPr>
        <w:spacing w:after="120"/>
      </w:pPr>
      <w:r>
        <w:rPr>
          <w:b/>
          <w:bCs/>
          <w:sz w:val="24"/>
          <w:szCs w:val="24"/>
        </w:rPr>
        <w:t xml:space="preserve">Real order-book turnaround but weak returns, a poor long-term record, management flip-flops and a de-rating sector - the volume tailwind alone is not enough. thesis_fit 'neither', conviction Low-Medium.</w:t>
      </w:r>
    </w:p>
    <w:p>
      <w:pPr>
        <w:pStyle w:val="ListParagraph"/>
        <w:numPr>
          <w:ilvl w:val="0"/>
          <w:numId w:val="1"/>
        </w:numPr>
        <w:spacing w:after="60"/>
      </w:pPr>
      <w:r>
        <w:t xml:space="preserve">four_box: tailwind yes (India wind capacity-addition targets and a broadened IPP base are a real multi-year volume pull), tam weak (large addressable wind market but Inox is already ~Rs 12,858 Cr, capital-intensive, and margins/ROE are thin), moat weak (some type-certification and installed-base O&amp;M advantages, but management and forum members say the space is commoditising with 'no moat left'), valuation no (~31x P/E on ~5.7% ROE, down 49% but still not cheap on earnings) -&gt; score 2.0</w:t>
      </w:r>
    </w:p>
    <w:p>
      <w:pPr>
        <w:pStyle w:val="ListParagraph"/>
        <w:numPr>
          <w:ilvl w:val="0"/>
          <w:numId w:val="1"/>
        </w:numPr>
        <w:spacing w:after="60"/>
      </w:pPr>
      <w:r>
        <w:t xml:space="preserve">Score 2.0 sits in the exception band but no exception applies - valuation box is not 'yes', earnings growth quality is low (5.7% ROE), and the turnaround is cyclical, not a 'specific named management or structural inflection' of the large-cap exception type (management is in fact strategically inconsistent) -&gt; thesis_fit 'neither'</w:t>
      </w:r>
    </w:p>
    <w:p>
      <w:pPr>
        <w:pStyle w:val="ListParagraph"/>
        <w:numPr>
          <w:ilvl w:val="0"/>
          <w:numId w:val="1"/>
        </w:numPr>
        <w:spacing w:after="60"/>
      </w:pPr>
      <w:r>
        <w:t xml:space="preserve">Conviction Low-Medium: the order book and deleveraging are genuine, but the wealth-destruction history, thin ROE, ISTS headwind, sector de-rating and strategy flip-flops cap it below Medium</w:t>
      </w:r>
    </w:p>
    <w:p>
      <w:pPr>
        <w:pStyle w:val="ListParagraph"/>
        <w:numPr>
          <w:ilvl w:val="0"/>
          <w:numId w:val="1"/>
        </w:numPr>
        <w:spacing w:after="60"/>
      </w:pPr>
      <w:r>
        <w:t xml:space="preserve">No live-theme match - wind-turbine equipment is not an active_themes.json entry (grid/transmission and gas-turbine themes are adjacent but distinct); no value_chain block written</w:t>
      </w:r>
    </w:p>
    <w:p>
      <w:pPr>
        <w:pStyle w:val="ListParagraph"/>
        <w:numPr>
          <w:ilvl w:val="0"/>
          <w:numId w:val="1"/>
        </w:numPr>
        <w:spacing w:after="60"/>
      </w:pPr>
      <w:r>
        <w:t xml:space="preserve">No red flag tier (no fraud/SEBI/going-concern), but the long-term wealth-destruction record and management inconsistency are named as material concerns</w:t>
      </w:r>
    </w:p>
    <w:p>
      <w:pPr>
        <w:pStyle w:val="ListParagraph"/>
        <w:numPr>
          <w:ilvl w:val="0"/>
          <w:numId w:val="1"/>
        </w:numPr>
        <w:spacing w:after="60"/>
      </w:pPr>
      <w:r>
        <w:t xml:space="preserve">Re-check trigger: ROE trajectory as the order book executes, margin impact of the ISTS-charge change, capital-allocation discipline (Inox Green / solar), and whether execution keeps pace with the 3.3-3.5 GW book</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2026-09-07T14:28:52.751Z</dcterms:created>
  <dcterms:modified xsi:type="dcterms:W3CDTF">2026-09-07T14:28:52.751Z</dcterms:modified>
</cp:coreProperties>
</file>

<file path=docProps/custom.xml><?xml version="1.0" encoding="utf-8"?>
<Properties xmlns="http://schemas.openxmlformats.org/officeDocument/2006/custom-properties" xmlns:vt="http://schemas.openxmlformats.org/officeDocument/2006/docPropsVTypes"/>
</file>