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NGL Fine-Chem Ltd</w:t>
      </w:r>
    </w:p>
    <w:p>
      <w:pPr>
        <w:pBdr>
          <w:bottom w:val="single" w:color="CCCCCC" w:sz="6" w:space="8"/>
        </w:pBdr>
        <w:spacing w:after="200"/>
      </w:pPr>
      <w:r>
        <w:rPr>
          <w:i/>
          <w:iCs/>
          <w:color w:val="666666"/>
          <w:sz w:val="22"/>
          <w:szCs w:val="22"/>
        </w:rPr>
        <w:t xml:space="preserve">Conservative, debt-light veterinary/human-pharma intermediate maker with a deep high-quality community track record; the FY25 margin trough has now clearly recovered (FY26 PAT +128%, Q1FY27 PAT +99%) with greenfield Phase II and regulated-market entry still ahead</w:t>
      </w:r>
    </w:p>
    <w:p>
      <w:pPr>
        <w:pStyle w:val="Heading1"/>
        <w:spacing w:after="120" w:before="280"/>
      </w:pPr>
      <w:r>
        <w:t xml:space="preserve">Business Overview</w:t>
      </w:r>
    </w:p>
    <w:p>
      <w:pPr>
        <w:spacing w:after="120"/>
      </w:pPr>
      <w:r>
        <w:t xml:space="preserve">NGL Fine-Chem manufactures and exports pharmaceutical/veterinary intermediates and formulations, with capacity expansion through its Macrotech Polychem subsidiary (brownfield, now commissioned) and a Rs 210 Cr greenfield project at Tarapur (Phase I operational; Phase II commercial production expected H2 FY27). Entering regulated (US/EU) markets, expected to contribute meaningfully from FY28.</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1,861 Cr; P/E ~39x trailing (FY26), ~25x on annualised Q1FY27</w:t>
            </w:r>
          </w:p>
        </w:tc>
      </w:tr>
      <w:tr>
        <w:tc>
          <w:tcPr>
            <w:tcW w:type="dxa" w:w="3200"/>
            <w:shd w:fill="F2F2F2" w:val="clear"/>
          </w:tcPr>
          <w:p>
            <w:r>
              <w:rPr>
                <w:b/>
                <w:bCs/>
              </w:rPr>
              <w:t xml:space="preserve">ROCE / ROE</w:t>
            </w:r>
          </w:p>
        </w:tc>
        <w:tc>
          <w:tcPr>
            <w:tcW w:type="dxa" w:w="5800"/>
          </w:tcPr>
          <w:p>
            <w:r>
              <w:t xml:space="preserve">ROCE ~16.7% / ROE ~15.6% (recovering with margins)</w:t>
            </w:r>
          </w:p>
        </w:tc>
      </w:tr>
      <w:tr>
        <w:tc>
          <w:tcPr>
            <w:tcW w:type="dxa" w:w="3200"/>
            <w:shd w:fill="F2F2F2" w:val="clear"/>
          </w:tcPr>
          <w:p>
            <w:r>
              <w:rPr>
                <w:b/>
                <w:bCs/>
              </w:rPr>
              <w:t xml:space="preserve">Debt/Equity</w:t>
            </w:r>
          </w:p>
        </w:tc>
        <w:tc>
          <w:tcPr>
            <w:tcW w:type="dxa" w:w="5800"/>
          </w:tcPr>
          <w:p>
            <w:r>
              <w:t xml:space="preserve">~17.6% (low); promoters confirmed nil encumbrance on shares for FY26</w:t>
            </w:r>
          </w:p>
        </w:tc>
      </w:tr>
      <w:tr>
        <w:tc>
          <w:tcPr>
            <w:tcW w:type="dxa" w:w="3200"/>
            <w:shd w:fill="F2F2F2" w:val="clear"/>
          </w:tcPr>
          <w:p>
            <w:r>
              <w:rPr>
                <w:b/>
                <w:bCs/>
              </w:rPr>
              <w:t xml:space="preserve">FY26 (consolidated)</w:t>
            </w:r>
          </w:p>
        </w:tc>
        <w:tc>
          <w:tcPr>
            <w:tcW w:type="dxa" w:w="5800"/>
          </w:tcPr>
          <w:p>
            <w:r>
              <w:t xml:space="preserve">Revenue Rs 501 Cr (+36% YoY from Rs 368 Cr); PAT Rs 48.1 Cr (+128% from Rs 21.1 Cr) — cyclical recovery from the FY25 trough</w:t>
            </w:r>
          </w:p>
        </w:tc>
      </w:tr>
      <w:tr>
        <w:tc>
          <w:tcPr>
            <w:tcW w:type="dxa" w:w="3200"/>
            <w:shd w:fill="F2F2F2" w:val="clear"/>
          </w:tcPr>
          <w:p>
            <w:r>
              <w:rPr>
                <w:b/>
                <w:bCs/>
              </w:rPr>
              <w:t xml:space="preserve">Q1 FY27</w:t>
            </w:r>
          </w:p>
        </w:tc>
        <w:tc>
          <w:tcPr>
            <w:tcW w:type="dxa" w:w="5800"/>
          </w:tcPr>
          <w:p>
            <w:r>
              <w:t xml:space="preserve">Revenue Rs 139.2 Cr (+33.6% YoY); EBITDA Rs 23.3 Cr, margin 16.7% (up from 10.5% YoY); PAT Rs 18.4 Cr (+99% YoY)</w:t>
            </w:r>
          </w:p>
        </w:tc>
      </w:tr>
      <w:tr>
        <w:tc>
          <w:tcPr>
            <w:tcW w:type="dxa" w:w="3200"/>
            <w:shd w:fill="F2F2F2" w:val="clear"/>
          </w:tcPr>
          <w:p>
            <w:r>
              <w:rPr>
                <w:b/>
                <w:bCs/>
              </w:rPr>
              <w:t xml:space="preserve">Margin guidance</w:t>
            </w:r>
          </w:p>
        </w:tc>
        <w:tc>
          <w:tcPr>
            <w:tcW w:type="dxa" w:w="5800"/>
          </w:tcPr>
          <w:p>
            <w:r>
              <w:t xml:space="preserve">EBITDA margin 15-18% steady-state (some Q1FY27 lift was inventory gain on price hikes, expected to moderate); regulated-market mix could add 3-5% premium from FY28</w:t>
            </w:r>
          </w:p>
        </w:tc>
      </w:tr>
      <w:tr>
        <w:tc>
          <w:tcPr>
            <w:tcW w:type="dxa" w:w="3200"/>
            <w:shd w:fill="F2F2F2" w:val="clear"/>
          </w:tcPr>
          <w:p>
            <w:r>
              <w:rPr>
                <w:b/>
                <w:bCs/>
              </w:rPr>
              <w:t xml:space="preserve">Capex / capacity</w:t>
            </w:r>
          </w:p>
        </w:tc>
        <w:tc>
          <w:tcPr>
            <w:tcW w:type="dxa" w:w="5800"/>
          </w:tcPr>
          <w:p>
            <w:r>
              <w:t xml:space="preserve">Tarapur greenfield Rs 210 Cr total, ~Rs 183 Cr spent to Q4FY26; Phase I operational, Phase II commercial production expected H2 FY27. Macrotech Polychem brownfield completed, commercial production started</w:t>
            </w:r>
          </w:p>
        </w:tc>
      </w:tr>
      <w:tr>
        <w:tc>
          <w:tcPr>
            <w:tcW w:type="dxa" w:w="3200"/>
            <w:shd w:fill="F2F2F2" w:val="clear"/>
          </w:tcPr>
          <w:p>
            <w:r>
              <w:rPr>
                <w:b/>
                <w:bCs/>
              </w:rPr>
              <w:t xml:space="preserve">Long-term revenue growth</w:t>
            </w:r>
          </w:p>
        </w:tc>
        <w:tc>
          <w:tcPr>
            <w:tcW w:type="dxa" w:w="5800"/>
          </w:tcPr>
          <w:p>
            <w:r>
              <w:t xml:space="preserve">5-yr revenue CAGR ~18.75% vs ~5.35% industry median</w:t>
            </w:r>
          </w:p>
        </w:tc>
      </w:tr>
      <w:tr>
        <w:tc>
          <w:tcPr>
            <w:tcW w:type="dxa" w:w="3200"/>
            <w:shd w:fill="F2F2F2" w:val="clear"/>
          </w:tcPr>
          <w:p>
            <w:r>
              <w:rPr>
                <w:b/>
                <w:bCs/>
              </w:rPr>
              <w:t xml:space="preserve">52-week range</w:t>
            </w:r>
          </w:p>
        </w:tc>
        <w:tc>
          <w:tcPr>
            <w:tcW w:type="dxa" w:w="5800"/>
          </w:tcPr>
          <w:p>
            <w:r>
              <w:t xml:space="preserve">Rs 1,261 - 3,602 (de-rated hard through the trough, now recovering on earnings)</w:t>
            </w:r>
          </w:p>
        </w:tc>
      </w:tr>
    </w:tbl>
    <w:p>
      <w:pPr>
        <w:spacing w:after="100"/>
      </w:pPr>
    </w:p>
    <w:p>
      <w:pPr>
        <w:spacing w:after="120"/>
      </w:pPr>
      <w:r>
        <w:t xml:space="preserve">The cyclical margin trough that had capped conviction (gross margin 55%-&gt;46% by Feb 2025, 'washout quarter') has clearly reversed: FY26 consolidated revenue rose 36% to Rs 501 Cr and PAT more than doubled to Rs 48 Cr, and Q1FY27 continued it (revenue +34%, EBITDA margin 16.7% vs 10.5% a year earlier, PAT +99%). Management cautions that part of the Q1 lift was inventory gains on price increases and guides a steady-state 15-18% EBITDA margin. Capacity is the forward lever: the Macrotech Polychem brownfield is commissioned, and the Rs 210 Cr Tarapur greenfield (Rs ~183 Cr already spent) has Phase I operational with Phase II commercial production slipped to H2 FY27 on gas/labour delays. Regulated (US/EU) market entry is expected to contribute from FY28 with a 3-5% margin premium. Leverage stays conservative (D/E ~17.6%), promoters confirmed nil encumbrance, and the business retains the deepest, highest-quality community coverage in this batch. Valuation has partly caught up — ~39x trailing / ~25x on annualised Q1FY27.</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2026-09-08.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NGL Fine-Chem Q1 FY27 result coverage (sahi.com, scanx.trade, multibagg.ai): revenue Rs 139.2 Cr +33.6%, EBITDA margin 16.7% vs 10.5%, PAT Rs 18.4 Cr +99%</w:t>
      </w:r>
    </w:p>
    <w:p>
      <w:pPr>
        <w:pStyle w:val="ListParagraph"/>
        <w:numPr>
          <w:ilvl w:val="0"/>
          <w:numId w:val="1"/>
        </w:numPr>
        <w:spacing w:after="60"/>
      </w:pPr>
      <w:r>
        <w:t xml:space="preserve">FY26 annual result coverage: consolidated revenue Rs 501 Cr (+36%), PAT Rs 48.1 Cr (+128%)</w:t>
      </w:r>
    </w:p>
    <w:p>
      <w:pPr>
        <w:pStyle w:val="ListParagraph"/>
        <w:numPr>
          <w:ilvl w:val="0"/>
          <w:numId w:val="1"/>
        </w:numPr>
        <w:spacing w:after="60"/>
      </w:pPr>
      <w:r>
        <w:t xml:space="preserve">Q1 FY27 / Q4 FY26 earnings-call analysis (arthneeti.com, multibagg.ai): margin guidance 15-18%, regulated-market 3-5% premium from FY28, inventory-gain caveat</w:t>
      </w:r>
    </w:p>
    <w:p>
      <w:pPr>
        <w:pStyle w:val="ListParagraph"/>
        <w:numPr>
          <w:ilvl w:val="0"/>
          <w:numId w:val="1"/>
        </w:numPr>
        <w:spacing w:after="60"/>
      </w:pPr>
      <w:r>
        <w:t xml:space="preserve">Tarapur / Macrotech expansion coverage (indianchemicalnews.com, multibagg.ai): Rs 210 Cr total capex, ~Rs 183 Cr spent to Q4FY26, Phase I operational, Phase II H2FY27; Macrotech brownfield completed</w:t>
      </w:r>
    </w:p>
    <w:p>
      <w:pPr>
        <w:pStyle w:val="ListParagraph"/>
        <w:numPr>
          <w:ilvl w:val="0"/>
          <w:numId w:val="1"/>
        </w:numPr>
        <w:spacing w:after="60"/>
      </w:pPr>
      <w:r>
        <w:t xml:space="preserve">BSE disclosure: promoters confirm nil encumbrance on shares FY26 (scanx.trade)</w:t>
      </w:r>
    </w:p>
    <w:p>
      <w:pPr>
        <w:spacing w:after="120"/>
      </w:pPr>
      <w:r>
        <w:rPr>
          <w:b/>
          <w:bCs/>
          <w:sz w:val="20"/>
          <w:szCs w:val="20"/>
        </w:rPr>
        <w:t xml:space="preserve">Annual-report findings (3-year view):</w:t>
      </w:r>
    </w:p>
    <w:p>
      <w:pPr>
        <w:pStyle w:val="ListParagraph"/>
        <w:numPr>
          <w:ilvl w:val="0"/>
          <w:numId w:val="1"/>
        </w:numPr>
        <w:spacing w:after="60"/>
      </w:pPr>
      <w:r>
        <w:t xml:space="preserve">FY25 was the trough: revenue Rs 368 Cr, PAT Rs 21.1 Cr, gross margin compressed 55%-&gt;46% on pricing/competition</w:t>
      </w:r>
    </w:p>
    <w:p>
      <w:pPr>
        <w:pStyle w:val="ListParagraph"/>
        <w:numPr>
          <w:ilvl w:val="0"/>
          <w:numId w:val="1"/>
        </w:numPr>
        <w:spacing w:after="60"/>
      </w:pPr>
      <w:r>
        <w:t xml:space="preserve">FY26 recovery: revenue Rs 501 Cr (+36%), PAT Rs 48.1 Cr (+128%); ROCE/ROE recovering toward ~16-17%</w:t>
      </w:r>
    </w:p>
    <w:p>
      <w:pPr>
        <w:pStyle w:val="ListParagraph"/>
        <w:numPr>
          <w:ilvl w:val="0"/>
          <w:numId w:val="1"/>
        </w:numPr>
        <w:spacing w:after="60"/>
      </w:pPr>
      <w:r>
        <w:t xml:space="preserve">Balance sheet stays conservative: D/E ~17.6%; promoters confirmed no direct or indirect encumbrance on their shares for FY26</w:t>
      </w:r>
    </w:p>
    <w:p>
      <w:pPr>
        <w:pStyle w:val="ListParagraph"/>
        <w:numPr>
          <w:ilvl w:val="0"/>
          <w:numId w:val="1"/>
        </w:numPr>
        <w:spacing w:after="60"/>
      </w:pPr>
      <w:r>
        <w:t xml:space="preserve">Tarapur greenfield: Rs 210 Cr total, Rs ~183 Cr invested through Q4FY26; Phase I operational and contributing volumes</w:t>
      </w:r>
    </w:p>
    <w:p>
      <w:pPr>
        <w:pStyle w:val="ListParagraph"/>
        <w:numPr>
          <w:ilvl w:val="0"/>
          <w:numId w:val="1"/>
        </w:numPr>
        <w:spacing w:after="60"/>
      </w:pPr>
      <w:r>
        <w:t xml:space="preserve">Macrotech Polychem brownfield expansion completed with additional intermediate capacity and commercial production started</w:t>
      </w:r>
    </w:p>
    <w:p>
      <w:pPr>
        <w:pStyle w:val="ListParagraph"/>
        <w:numPr>
          <w:ilvl w:val="0"/>
          <w:numId w:val="1"/>
        </w:numPr>
        <w:spacing w:after="60"/>
      </w:pPr>
      <w:r>
        <w:t xml:space="preserve">Regulated (US/EU) market qualification underway; meaningful contribution guided from FY28 with a 3-5% margin premium</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Feb-2025 (Q3FY25): 'washout quarter', gross margin 55%-&gt;46%, trusted trackers flag high competition / lower prices</w:t>
      </w:r>
    </w:p>
    <w:p>
      <w:pPr>
        <w:pStyle w:val="ListParagraph"/>
        <w:numPr>
          <w:ilvl w:val="0"/>
          <w:numId w:val="1"/>
        </w:numPr>
        <w:spacing w:after="60"/>
      </w:pPr>
      <w:r>
        <w:t xml:space="preserve">FY26 full year: revenue +36%, PAT +128% — clear turn</w:t>
      </w:r>
    </w:p>
    <w:p>
      <w:pPr>
        <w:pStyle w:val="ListParagraph"/>
        <w:numPr>
          <w:ilvl w:val="0"/>
          <w:numId w:val="1"/>
        </w:numPr>
        <w:spacing w:after="60"/>
      </w:pPr>
      <w:r>
        <w:t xml:space="preserve">Q1FY27: revenue Rs 139.2 Cr (+33.6% YoY), EBITDA Rs 23.3 Cr (margin 16.7% vs 10.5% YoY), PAT Rs 18.4 Cr (+99% YoY)</w:t>
      </w:r>
    </w:p>
    <w:p>
      <w:pPr>
        <w:pStyle w:val="ListParagraph"/>
        <w:numPr>
          <w:ilvl w:val="0"/>
          <w:numId w:val="1"/>
        </w:numPr>
        <w:spacing w:after="60"/>
      </w:pPr>
      <w:r>
        <w:t xml:space="preserve">Management caveat: part of the Q1FY27 margin lift was inventory gains on price hikes; steady-state EBITDA margin guided 15-18%</w:t>
      </w:r>
    </w:p>
    <w:p>
      <w:pPr>
        <w:spacing w:after="120"/>
      </w:pPr>
      <w:r>
        <w:rPr>
          <w:b/>
          <w:bCs/>
          <w:sz w:val="20"/>
          <w:szCs w:val="20"/>
        </w:rPr>
        <w:t xml:space="preserve">Exchange announcements (last 6 months):</w:t>
      </w:r>
    </w:p>
    <w:p>
      <w:pPr>
        <w:pStyle w:val="ListParagraph"/>
        <w:numPr>
          <w:ilvl w:val="0"/>
          <w:numId w:val="1"/>
        </w:numPr>
        <w:spacing w:after="60"/>
      </w:pPr>
      <w:r>
        <w:t xml:space="preserve">Q1FY27 result (board meet 12-Aug-2026): PAT +99% YoY</w:t>
      </w:r>
    </w:p>
    <w:p>
      <w:pPr>
        <w:pStyle w:val="ListParagraph"/>
        <w:numPr>
          <w:ilvl w:val="0"/>
          <w:numId w:val="1"/>
        </w:numPr>
        <w:spacing w:after="60"/>
      </w:pPr>
      <w:r>
        <w:t xml:space="preserve">FY26 result: PAT +128% YoY</w:t>
      </w:r>
    </w:p>
    <w:p>
      <w:pPr>
        <w:pStyle w:val="ListParagraph"/>
        <w:numPr>
          <w:ilvl w:val="0"/>
          <w:numId w:val="1"/>
        </w:numPr>
        <w:spacing w:after="60"/>
      </w:pPr>
      <w:r>
        <w:t xml:space="preserve">Tarapur Phase II commissioning slipped to early Q2FY27 (gas/labour); commercial production expected H2FY27</w:t>
      </w:r>
    </w:p>
    <w:p>
      <w:pPr>
        <w:pStyle w:val="ListParagraph"/>
        <w:numPr>
          <w:ilvl w:val="0"/>
          <w:numId w:val="1"/>
        </w:numPr>
        <w:spacing w:after="60"/>
      </w:pPr>
      <w:r>
        <w:t xml:space="preserve">Macrotech Polychem brownfield expansion completed and commercialised</w:t>
      </w:r>
    </w:p>
    <w:p>
      <w:pPr>
        <w:pStyle w:val="ListParagraph"/>
        <w:numPr>
          <w:ilvl w:val="0"/>
          <w:numId w:val="1"/>
        </w:numPr>
        <w:spacing w:after="60"/>
      </w:pPr>
      <w:r>
        <w:t xml:space="preserve">Promoters confirmed nil share encumbrance for FY26</w:t>
      </w:r>
    </w:p>
    <w:p>
      <w:pPr>
        <w:pStyle w:val="ListParagraph"/>
        <w:numPr>
          <w:ilvl w:val="0"/>
          <w:numId w:val="1"/>
        </w:numPr>
        <w:spacing w:after="60"/>
      </w:pPr>
      <w:r>
        <w:t xml:space="preserve">No regulatory-adverse disclosures</w:t>
      </w:r>
    </w:p>
    <w:p>
      <w:pPr>
        <w:spacing w:after="120"/>
      </w:pPr>
      <w:r>
        <w:rPr>
          <w:b/>
          <w:bCs/>
          <w:sz w:val="20"/>
          <w:szCs w:val="20"/>
        </w:rPr>
        <w:t xml:space="preserve">Key new facts vs. the prior write-up:</w:t>
      </w:r>
    </w:p>
    <w:p>
      <w:pPr>
        <w:pStyle w:val="ListParagraph"/>
        <w:numPr>
          <w:ilvl w:val="0"/>
          <w:numId w:val="1"/>
        </w:numPr>
        <w:spacing w:after="60"/>
      </w:pPr>
      <w:r>
        <w:t xml:space="preserve">The cyclical trough is over — FY26 PAT +128% and Q1FY27 PAT +99%, EBITDA margin near-doubled YoY to 16.7%</w:t>
      </w:r>
    </w:p>
    <w:p>
      <w:pPr>
        <w:pStyle w:val="ListParagraph"/>
        <w:numPr>
          <w:ilvl w:val="0"/>
          <w:numId w:val="1"/>
        </w:numPr>
        <w:spacing w:after="60"/>
      </w:pPr>
      <w:r>
        <w:t xml:space="preserve">Steady-state margin is guided BACK to 15-18% (some Q1FY27 lift was one-off inventory gain) — the recovery is real but Q1's exact level may not hold</w:t>
      </w:r>
    </w:p>
    <w:p>
      <w:pPr>
        <w:pStyle w:val="ListParagraph"/>
        <w:numPr>
          <w:ilvl w:val="0"/>
          <w:numId w:val="1"/>
        </w:numPr>
        <w:spacing w:after="60"/>
      </w:pPr>
      <w:r>
        <w:t xml:space="preserve">Tarapur Phase II commercial production pushed to H2FY27; Macrotech brownfield already commissioned</w:t>
      </w:r>
    </w:p>
    <w:p>
      <w:pPr>
        <w:pStyle w:val="ListParagraph"/>
        <w:numPr>
          <w:ilvl w:val="0"/>
          <w:numId w:val="1"/>
        </w:numPr>
        <w:spacing w:after="60"/>
      </w:pPr>
      <w:r>
        <w:t xml:space="preserve">Regulated-market revenue expected from FY28 with a 3-5% EBITDA-margin premium</w:t>
      </w:r>
    </w:p>
    <w:p>
      <w:pPr>
        <w:pStyle w:val="ListParagraph"/>
        <w:numPr>
          <w:ilvl w:val="0"/>
          <w:numId w:val="1"/>
        </w:numPr>
        <w:spacing w:after="60"/>
      </w:pPr>
      <w:r>
        <w:t xml:space="preserve">Valuation has partly caught up: ~39x trailing FY26 earnings, ~25x on annualised Q1FY27</w:t>
      </w:r>
    </w:p>
    <w:p>
      <w:pPr>
        <w:spacing w:after="120"/>
      </w:pPr>
      <w:r>
        <w:rPr>
          <w:b/>
          <w:bCs/>
          <w:sz w:val="20"/>
          <w:szCs w:val="20"/>
        </w:rPr>
        <w:t xml:space="preserve">Open questions / what to watch:</w:t>
      </w:r>
    </w:p>
    <w:p>
      <w:pPr>
        <w:pStyle w:val="ListParagraph"/>
        <w:numPr>
          <w:ilvl w:val="0"/>
          <w:numId w:val="1"/>
        </w:numPr>
        <w:spacing w:after="60"/>
      </w:pPr>
      <w:r>
        <w:t xml:space="preserve">Does steady-state EBITDA margin hold at/above 17% through FY27, or settle at the lower end of the 15-18% guide as inventory gains reverse?</w:t>
      </w:r>
    </w:p>
    <w:p>
      <w:pPr>
        <w:pStyle w:val="ListParagraph"/>
        <w:numPr>
          <w:ilvl w:val="0"/>
          <w:numId w:val="1"/>
        </w:numPr>
        <w:spacing w:after="60"/>
      </w:pPr>
      <w:r>
        <w:t xml:space="preserve">Does Tarapur Phase II actually commission in H2FY27 after the first slip, and what incremental revenue does it add?</w:t>
      </w:r>
    </w:p>
    <w:p>
      <w:pPr>
        <w:pStyle w:val="ListParagraph"/>
        <w:numPr>
          <w:ilvl w:val="0"/>
          <w:numId w:val="1"/>
        </w:numPr>
        <w:spacing w:after="60"/>
      </w:pPr>
      <w:r>
        <w:t xml:space="preserve">How large and how profitable is the regulated-market opportunity really, and does FY28 timing hold?</w:t>
      </w:r>
    </w:p>
    <w:p>
      <w:pPr>
        <w:pStyle w:val="ListParagraph"/>
        <w:numPr>
          <w:ilvl w:val="0"/>
          <w:numId w:val="1"/>
        </w:numPr>
        <w:spacing w:after="60"/>
      </w:pPr>
      <w:r>
        <w:t xml:space="preserve">Will a trusted-roster tracker re-engage now that the turn is confirmed?</w:t>
      </w:r>
    </w:p>
    <w:p>
      <w:pPr>
        <w:spacing w:after="120" w:before="120"/>
      </w:pPr>
      <w:r>
        <w:rPr>
          <w:b/>
          <w:bCs/>
          <w:sz w:val="20"/>
          <w:szCs w:val="20"/>
        </w:rPr>
        <w:t xml:space="preserve">Conviction impact: </w:t>
      </w:r>
      <w:r>
        <w:rPr>
          <w:sz w:val="20"/>
          <w:szCs w:val="20"/>
        </w:rPr>
        <w:t xml:space="preserve">Medium -&gt; Medium. The deep read upgrades the situation from 'cyclical trough, wait for a recovery print' to 'recovery confirmed' (FY26 PAT +128%, Q1FY27 PAT +99%, margins near-doubled YoY), with capacity (Tarapur Phase II H2FY27) and regulated-market (FY28) optionality ahead. Held at Medium rather than raised because steady-state margins are guided below Q1FY27, the multiple has partly re-rated (~25x forward), Phase II has already slipped once, and the niche stays competitive and cyclical.</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Commission Tarapur greenfield Phase II</w:t>
            </w:r>
          </w:p>
        </w:tc>
        <w:tc>
          <w:tcPr>
            <w:tcW w:type="dxa" w:w="2400"/>
          </w:tcPr>
          <w:p>
            <w:r>
              <w:rPr>
                <w:b w:val="false"/>
                <w:bCs w:val="false"/>
                <w:sz w:val="18"/>
                <w:szCs w:val="18"/>
              </w:rPr>
              <w:t xml:space="preserve">Rs 210 Cr total project (~Rs 183 Cr spent to Q4FY26); Phase I operational, Phase II commercial production expected H2FY27</w:t>
            </w:r>
          </w:p>
        </w:tc>
        <w:tc>
          <w:tcPr>
            <w:tcW w:type="dxa" w:w="900"/>
          </w:tcPr>
          <w:p>
            <w:r>
              <w:rPr>
                <w:b w:val="false"/>
                <w:bCs w:val="false"/>
                <w:sz w:val="18"/>
                <w:szCs w:val="18"/>
              </w:rPr>
              <w:t xml:space="preserve">FY27</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Hold steady-state EBITDA margin in the 15-18% band</w:t>
            </w:r>
          </w:p>
        </w:tc>
        <w:tc>
          <w:tcPr>
            <w:tcW w:type="dxa" w:w="2400"/>
          </w:tcPr>
          <w:p>
            <w:r>
              <w:rPr>
                <w:b w:val="false"/>
                <w:bCs w:val="false"/>
                <w:sz w:val="18"/>
                <w:szCs w:val="18"/>
              </w:rPr>
              <w:t xml:space="preserve">Q1FY27 was 16.7% incl. some inventory gain; regulated mix could add 3-5% from FY28</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Regulated (US/EU) market sales contributing meaningfully from FY28</w:t>
            </w:r>
          </w:p>
        </w:tc>
        <w:tc>
          <w:tcPr>
            <w:tcW w:type="dxa" w:w="2400"/>
          </w:tcPr>
          <w:p>
            <w:r>
              <w:rPr>
                <w:b w:val="false"/>
                <w:bCs w:val="false"/>
                <w:sz w:val="18"/>
                <w:szCs w:val="18"/>
              </w:rPr>
              <w:t xml:space="preserve">3-5% EBITDA-margin premium on regulated mix</w:t>
            </w:r>
          </w:p>
        </w:tc>
        <w:tc>
          <w:tcPr>
            <w:tcW w:type="dxa" w:w="900"/>
          </w:tcPr>
          <w:p>
            <w:r>
              <w:rPr>
                <w:b w:val="false"/>
                <w:bCs w:val="false"/>
                <w:sz w:val="18"/>
                <w:szCs w:val="18"/>
              </w:rPr>
              <w:t xml:space="preserve">FY28</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veterinary/pharma intermediate demand + China+1</w:t>
      </w:r>
      <w:r>
        <w:rPr>
          <w:color w:val="666666"/>
          <w:sz w:val="20"/>
          <w:szCs w:val="20"/>
        </w:rPr>
        <w:t xml:space="preserve"> → </w:t>
      </w:r>
      <w:r>
        <w:rPr>
          <w:b w:val="false"/>
          <w:bCs w:val="false"/>
          <w:sz w:val="20"/>
          <w:szCs w:val="20"/>
        </w:rPr>
        <w:t xml:space="preserve">realisation recovery off the FY25 trough</w:t>
      </w:r>
      <w:r>
        <w:rPr>
          <w:color w:val="666666"/>
          <w:sz w:val="20"/>
          <w:szCs w:val="20"/>
        </w:rPr>
        <w:t xml:space="preserve"> → </w:t>
      </w:r>
      <w:r>
        <w:rPr>
          <w:b w:val="false"/>
          <w:bCs w:val="false"/>
          <w:sz w:val="20"/>
          <w:szCs w:val="20"/>
        </w:rPr>
        <w:t xml:space="preserve">Phase I + Macrotech volumes</w:t>
      </w:r>
      <w:r>
        <w:rPr>
          <w:color w:val="666666"/>
          <w:sz w:val="20"/>
          <w:szCs w:val="20"/>
        </w:rPr>
        <w:t xml:space="preserve"> → </w:t>
      </w:r>
      <w:r>
        <w:rPr>
          <w:b w:val="false"/>
          <w:bCs w:val="false"/>
          <w:sz w:val="20"/>
          <w:szCs w:val="20"/>
        </w:rPr>
        <w:t xml:space="preserve">Tarapur Phase II volumes (H2FY27)</w:t>
      </w:r>
      <w:r>
        <w:rPr>
          <w:color w:val="666666"/>
          <w:sz w:val="20"/>
          <w:szCs w:val="20"/>
        </w:rPr>
        <w:t xml:space="preserve"> → </w:t>
      </w:r>
      <w:r>
        <w:rPr>
          <w:b w:val="false"/>
          <w:bCs w:val="false"/>
          <w:sz w:val="20"/>
          <w:szCs w:val="20"/>
        </w:rPr>
        <w:t xml:space="preserve">operating leverage on completed capex</w:t>
      </w:r>
      <w:r>
        <w:rPr>
          <w:color w:val="666666"/>
          <w:sz w:val="20"/>
          <w:szCs w:val="20"/>
        </w:rPr>
        <w:t xml:space="preserve"> → </w:t>
      </w:r>
      <w:r>
        <w:rPr>
          <w:b w:val="false"/>
          <w:bCs w:val="false"/>
          <w:sz w:val="20"/>
          <w:szCs w:val="20"/>
        </w:rPr>
        <w:t xml:space="preserve">EBITDA margin 15-18% (+3-5% regulated from FY28)</w:t>
      </w:r>
      <w:r>
        <w:rPr>
          <w:color w:val="666666"/>
          <w:sz w:val="20"/>
          <w:szCs w:val="20"/>
        </w:rPr>
        <w:t xml:space="preserve"> → </w:t>
      </w:r>
      <w:r>
        <w:rPr>
          <w:b w:val="false"/>
          <w:bCs w:val="false"/>
          <w:sz w:val="20"/>
          <w:szCs w:val="20"/>
        </w:rPr>
        <w:t xml:space="preserve">PAT / FCF</w:t>
      </w:r>
    </w:p>
    <w:p>
      <w:pPr>
        <w:spacing w:after="120"/>
      </w:pPr>
      <w:r>
        <w:rPr>
          <w:color w:val="666666"/>
          <w:sz w:val="18"/>
          <w:szCs w:val="18"/>
        </w:rPr>
        <w:t xml:space="preserve">Bottleneck link: Tarapur Phase II commissioning + realisation stability.</w:t>
      </w:r>
    </w:p>
    <w:p>
      <w:pPr>
        <w:spacing w:after="120"/>
      </w:pPr>
      <w:r>
        <w:rPr>
          <w:color w:val="666666"/>
          <w:sz w:val="18"/>
          <w:szCs w:val="18"/>
        </w:rPr>
        <w:t xml:space="preserve">Operating leverage: yes — Q1FY27 EBITDA margin 16.7% vs 10.5% YoY on +34% revenue shows leverage flowing as utilisation and pricing recover; sustainability of the exact level is the question</w:t>
      </w:r>
    </w:p>
    <w:p>
      <w:pPr>
        <w:spacing w:after="120"/>
      </w:pPr>
      <w:r>
        <w:rPr>
          <w:color w:val="666666"/>
          <w:sz w:val="18"/>
          <w:szCs w:val="18"/>
        </w:rPr>
        <w:t xml:space="preserve">Evidenced: veterinary/pharma intermediate demand + China+1; realisation recovery off the FY25 trough; Phase I + Macrotech volumes. Still assumed: Tarapur Phase II volumes (H2FY27); operating leverage on completed capex; EBITDA margin 15-18% (+3-5% regulated from FY28).</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2026-09-08</w:t>
            </w:r>
          </w:p>
        </w:tc>
      </w:tr>
      <w:tr>
        <w:tc>
          <w:tcPr>
            <w:tcW w:type="dxa" w:w="3200"/>
            <w:shd w:fill="F2F2F2" w:val="clear"/>
          </w:tcPr>
          <w:p>
            <w:r>
              <w:rPr>
                <w:b/>
                <w:bCs/>
              </w:rPr>
              <w:t xml:space="preserve">Price / multiple</w:t>
            </w:r>
          </w:p>
        </w:tc>
        <w:tc>
          <w:tcPr>
            <w:tcW w:type="dxa" w:w="5800"/>
          </w:tcPr>
          <w:p>
            <w:r>
              <w:t xml:space="preserve">39x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~39x trailing FY26 / ~25x on annualised Q1FY27 implies the market expects PAT to roughly double again over FY26-28 (Phase II + regulated mix + margin holding) against a ~20-22x mid-cycle exit for a cyclical specialty-chem name</w:t>
            </w:r>
          </w:p>
        </w:tc>
      </w:tr>
      <w:tr>
        <w:tc>
          <w:tcPr>
            <w:tcW w:type="dxa" w:w="3200"/>
            <w:shd w:fill="F2F2F2" w:val="clear"/>
          </w:tcPr>
          <w:p>
            <w:r>
              <w:rPr>
                <w:b/>
                <w:bCs/>
              </w:rPr>
              <w:t xml:space="preserve">Our FY27</w:t>
            </w:r>
          </w:p>
        </w:tc>
        <w:tc>
          <w:tcPr>
            <w:tcW w:type="dxa" w:w="5800"/>
          </w:tcPr>
          <w:p>
            <w:r>
              <w:t xml:space="preserve">revenue ~Rs 620-680 Cr (Phase I + Macrotech full year, Phase II part-year); EBITDA margin ~16-17%; PAT ~Rs 70-85 Cr</w:t>
            </w:r>
          </w:p>
        </w:tc>
      </w:tr>
      <w:tr>
        <w:tc>
          <w:tcPr>
            <w:tcW w:type="dxa" w:w="3200"/>
            <w:shd w:fill="F2F2F2" w:val="clear"/>
          </w:tcPr>
          <w:p>
            <w:r>
              <w:rPr>
                <w:b/>
                <w:bCs/>
              </w:rPr>
              <w:t xml:space="preserve">Our FY28</w:t>
            </w:r>
          </w:p>
        </w:tc>
        <w:tc>
          <w:tcPr>
            <w:tcW w:type="dxa" w:w="5800"/>
          </w:tcPr>
          <w:p>
            <w:r>
              <w:t xml:space="preserve">revenue ~Rs 780-880 Cr with Phase II full-year and initial regulated sales; PAT ~Rs 95-120 Cr if margins hold in the guided band</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capacity</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recovery in realisations is largely priced (~25x forward); the incremental Phase II and regulated-market volume/margin is not fully in the multiple, but neither is it a certainty</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Tarapur Phase II commercial production (H2FY27) plus 2-3 quarterly prints confirming steady-state EBITDA margin holds &gt;=16%</w:t>
      </w:r>
      <w:r>
        <w:rPr>
          <w:color w:val="666666"/>
          <w:sz w:val="18"/>
          <w:szCs w:val="18"/>
        </w:rPr>
        <w:t xml:space="preserve"> (window ~9M from 2026-09-08; 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veterinary + human pharmaceutical intermediates / APIs (China+1)</w:t>
            </w:r>
          </w:p>
        </w:tc>
      </w:tr>
      <w:tr>
        <w:tc>
          <w:tcPr>
            <w:tcW w:type="dxa" w:w="3200"/>
            <w:shd w:fill="F2F2F2" w:val="clear"/>
          </w:tcPr>
          <w:p>
            <w:r>
              <w:rPr>
                <w:b/>
                <w:bCs/>
              </w:rPr>
              <w:t xml:space="preserve">This company's position</w:t>
            </w:r>
          </w:p>
        </w:tc>
        <w:tc>
          <w:tcPr>
            <w:tcW w:type="dxa" w:w="5800"/>
          </w:tcPr>
          <w:p>
            <w:r>
              <w:t xml:space="preserve">small Indian manufacturer-exporter of veterinary and pharma intermediates and formulations; moving toward regulated markets and higher-value APIs</w:t>
            </w:r>
          </w:p>
        </w:tc>
      </w:tr>
      <w:tr>
        <w:tc>
          <w:tcPr>
            <w:tcW w:type="dxa" w:w="3200"/>
            <w:shd w:fill="F2F2F2" w:val="clear"/>
          </w:tcPr>
          <w:p>
            <w:r>
              <w:rPr>
                <w:b/>
                <w:bCs/>
              </w:rPr>
              <w:t xml:space="preserve">Bottleneck node (pricing power)</w:t>
            </w:r>
          </w:p>
        </w:tc>
        <w:tc>
          <w:tcPr>
            <w:tcW w:type="dxa" w:w="5800"/>
          </w:tcPr>
          <w:p>
            <w:r>
              <w:t xml:space="preserve">cost-competitive process chemistry + regulatory qualification for regulated markets</w:t>
            </w:r>
          </w:p>
        </w:tc>
      </w:tr>
      <w:tr>
        <w:tc>
          <w:tcPr>
            <w:tcW w:type="dxa" w:w="3200"/>
            <w:shd w:fill="F2F2F2" w:val="clear"/>
          </w:tcPr>
          <w:p>
            <w:r>
              <w:rPr>
                <w:b/>
                <w:bCs/>
              </w:rPr>
              <w:t xml:space="preserve">Supply-side status</w:t>
            </w:r>
          </w:p>
        </w:tc>
        <w:tc>
          <w:tcPr>
            <w:tcW w:type="dxa" w:w="5800"/>
          </w:tcPr>
          <w:p>
            <w:r>
              <w:t xml:space="preserve">balanced</w:t>
            </w:r>
          </w:p>
        </w:tc>
      </w:tr>
      <w:tr>
        <w:tc>
          <w:tcPr>
            <w:tcW w:type="dxa" w:w="3200"/>
            <w:shd w:fill="F2F2F2" w:val="clear"/>
          </w:tcPr>
          <w:p>
            <w:r>
              <w:rPr>
                <w:b/>
                <w:bCs/>
              </w:rPr>
              <w:t xml:space="preserve">Adjacent-node peers</w:t>
            </w:r>
          </w:p>
        </w:tc>
        <w:tc>
          <w:tcPr>
            <w:tcW w:type="dxa" w:w="5800"/>
          </w:tcPr>
          <w:p>
            <w:r>
              <w:t xml:space="preserve">Sequent Scientific, Hester Biosciences, Nectar Lifesciences, Divi's Laboratories (scale reference, human API)</w:t>
            </w:r>
          </w:p>
        </w:tc>
      </w:tr>
    </w:tbl>
    <w:p>
      <w:pPr>
        <w:spacing w:after="120"/>
      </w:pPr>
      <w:r>
        <w:rPr>
          <w:color w:val="666666"/>
          <w:sz w:val="18"/>
          <w:szCs w:val="18"/>
        </w:rPr>
        <w:t xml:space="preserve">Veterinary API is a niche where a few Indian players compete on cost against Chinese supply; NGL's edge is conservative capital discipline and process depth, not pricing power. Capital-cycle read is neutral — supply is roughly balanced and pricing has been under periodic pressure. Regulated-market entry is the way up the value curve.</w:t>
      </w:r>
    </w:p>
    <w:p>
      <w:pPr>
        <w:spacing w:after="60" w:before="120"/>
      </w:pPr>
      <w:r>
        <w:rPr>
          <w:b/>
          <w:bCs/>
          <w:sz w:val="20"/>
          <w:szCs w:val="20"/>
        </w:rPr>
        <w:t xml:space="preserve">Earnings quality: </w:t>
      </w:r>
      <w:r>
        <w:rPr>
          <w:sz w:val="20"/>
          <w:szCs w:val="20"/>
        </w:rPr>
        <w:t xml:space="preserve">margin driver cyclical</w:t>
      </w:r>
      <w:r>
        <w:rPr>
          <w:b/>
          <w:bCs/>
          <w:color w:val="A32020"/>
          <w:sz w:val="20"/>
          <w:szCs w:val="20"/>
        </w:rPr>
        <w:t xml:space="preserve"/>
      </w:r>
    </w:p>
    <w:p>
      <w:pPr>
        <w:spacing w:after="120"/>
      </w:pPr>
      <w:r>
        <w:rPr>
          <w:color w:val="666666"/>
          <w:sz w:val="18"/>
          <w:szCs w:val="18"/>
        </w:rPr>
        <w:t xml:space="preserve">Drivers: realisation recovery off the FY25 trough; operating leverage on Phase I + Macrotech utilisation; one-off inventory gains on price hikes (Q1FY27); regulated-market mix premium (from FY28).</w:t>
      </w:r>
    </w:p>
    <w:p>
      <w:pPr>
        <w:spacing w:after="120"/>
      </w:pPr>
      <w:r>
        <w:rPr>
          <w:color w:val="666666"/>
          <w:sz w:val="18"/>
          <w:szCs w:val="18"/>
        </w:rPr>
        <w:t xml:space="preserve">Q1FY27's 16.7% EBITDA margin is roughly the top of management's own 15-18% steady-state guide and includes a one-off inventory gain, so it is a mid-to-high-cycle level, not a structural peak far above through-cycle. Through-cycle EBITDA margin ~13-16%.</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Revenue YoY (approx, oldest-&gt;newest): FY25 quarters flat-to-down (trough), FY26 full year +36%, Q1FY27 +33.6%. PAT YoY: FY25 down sharply, FY26 +128%, Q1FY27 +99%. The turn is a cyclical recovery, not a new structural growth rate — comps ease against the FY25 washout.</w:t>
      </w:r>
    </w:p>
    <w:p>
      <w:pPr>
        <w:spacing w:after="120"/>
      </w:pPr>
      <w:r>
        <w:rPr>
          <w:color w:val="666666"/>
          <w:sz w:val="18"/>
          <w:szCs w:val="18"/>
        </w:rPr>
        <w:t xml:space="preserve">Reverse P/E: ~25x on annualised Q1FY27 needs PAT to keep growing ~20-25% CAGR to FY28 (Phase II + regulated mix) at a ~20-22x cyclical exit; achievable if margins hold, but base effects flatter the recent YoY numbers.</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Capital allocation</w:t>
            </w:r>
          </w:p>
        </w:tc>
        <w:tc>
          <w:tcPr>
            <w:tcW w:type="dxa" w:w="5800"/>
          </w:tcPr>
          <w:p>
            <w:r>
              <w:t xml:space="preserve">Funded the Rs 210 Cr Tarapur greenfield and Macrotech brownfield largely from internal accrual with low leverage (D/E ~17.6%); historically slows capex/debt in downcycles per long-time trackers; no unrelated diversification. Incremental ROCE on the new capex still to prove out as Phase II ramps. (disciplined)</w:t>
            </w:r>
          </w:p>
        </w:tc>
      </w:tr>
      <w:tr>
        <w:tc>
          <w:tcPr>
            <w:tcW w:type="dxa" w:w="3200"/>
            <w:shd w:fill="F2F2F2" w:val="clear"/>
          </w:tcPr>
          <w:p>
            <w:r>
              <w:rPr>
                <w:b/>
                <w:bCs/>
              </w:rPr>
              <w:t xml:space="preserve">Related-party trend</w:t>
            </w:r>
          </w:p>
        </w:tc>
        <w:tc>
          <w:tcPr>
            <w:tcW w:type="dxa" w:w="5800"/>
          </w:tcPr>
          <w:p>
            <w:r>
              <w:t xml:space="preserve">clean</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consistent</w:t>
            </w:r>
          </w:p>
        </w:tc>
      </w:tr>
      <w:tr>
        <w:tc>
          <w:tcPr>
            <w:tcW w:type="dxa" w:w="3200"/>
            <w:shd w:fill="F2F2F2" w:val="clear"/>
          </w:tcPr>
          <w:p>
            <w:r>
              <w:rPr>
                <w:b/>
                <w:bCs/>
              </w:rPr>
              <w:t xml:space="preserve">Capability ladder / VAP</w:t>
            </w:r>
          </w:p>
        </w:tc>
        <w:tc>
          <w:tcPr>
            <w:tcW w:type="dxa" w:w="5800"/>
          </w:tcPr>
          <w:p>
            <w:r>
              <w:t xml:space="preserve">Moving from veterinary intermediates toward human-pharma intermediates/APIs and regulated (US/EU) markets — an explicit step up the value curve</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16.7% (improving)</w:t>
            </w:r>
          </w:p>
        </w:tc>
      </w:tr>
      <w:tr>
        <w:tc>
          <w:tcPr>
            <w:tcW w:type="dxa" w:w="3200"/>
            <w:shd w:fill="F2F2F2" w:val="clear"/>
          </w:tcPr>
          <w:p>
            <w:r>
              <w:rPr>
                <w:b/>
                <w:bCs/>
              </w:rPr>
              <w:t xml:space="preserve">Leverage</w:t>
            </w:r>
          </w:p>
        </w:tc>
        <w:tc>
          <w:tcPr>
            <w:tcW w:type="dxa" w:w="5800"/>
          </w:tcPr>
          <w:p>
            <w:r>
              <w:t xml:space="preserve">Net debt/EBITDA 0.6x</w:t>
            </w:r>
          </w:p>
        </w:tc>
      </w:tr>
      <w:tr>
        <w:tc>
          <w:tcPr>
            <w:tcW w:type="dxa" w:w="3200"/>
            <w:shd w:fill="F2F2F2" w:val="clear"/>
          </w:tcPr>
          <w:p>
            <w:r>
              <w:rPr>
                <w:b/>
                <w:bCs/>
              </w:rPr>
              <w:t xml:space="preserve">FCF conversion</w:t>
            </w:r>
          </w:p>
        </w:tc>
        <w:tc>
          <w:tcPr>
            <w:tcW w:type="dxa" w:w="5800"/>
          </w:tcPr>
          <w:p>
            <w:r>
              <w:t xml:space="preserve">25%</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neutral</w:t>
            </w:r>
          </w:p>
        </w:tc>
      </w:tr>
    </w:tbl>
    <w:p>
      <w:pPr>
        <w:spacing w:after="60" w:before="120"/>
      </w:pPr>
      <w:r>
        <w:rPr>
          <w:b/>
          <w:bCs/>
          <w:sz w:val="20"/>
          <w:szCs w:val="20"/>
        </w:rPr>
        <w:t xml:space="preserve">Track record (Coffee Can persistence check): </w:t>
      </w:r>
      <w:r>
        <w:rPr>
          <w:sz w:val="20"/>
          <w:szCs w:val="20"/>
        </w:rPr>
        <w:t xml:space="preserve">cleared revenue growth ≥10% AND ROCE ≥15% in 2 of the last 4 years (consistency_score 50)</w:t>
      </w:r>
    </w:p>
    <w:p>
      <w:pPr>
        <w:spacing w:after="120"/>
      </w:pPr>
      <w:r>
        <w:rPr>
          <w:color w:val="666666"/>
          <w:sz w:val="18"/>
          <w:szCs w:val="18"/>
        </w:rPr>
        <w:t xml:space="preserve">FY23-FY26 verifiable from the same filings. FY23 and FY26 combined &gt;=10% revenue growth with ROCE ~16-18% -&gt; pass. FY24 and FY25 were the downcycle — revenue soft and ROCE dipped below 15% -&gt; miss. 2 of 4 years cleared both hurdles; the pattern is cyclical, as the community history shows.</w:t>
      </w:r>
    </w:p>
    <w:p>
      <w:pPr>
        <w:pStyle w:val="Heading1"/>
        <w:spacing w:after="120" w:before="280"/>
      </w:pPr>
      <w:r>
        <w:t xml:space="preserve">Technical Read (Weekly / Monthly MACD + Bollinger Bands, or RSI/CCI/Williams %R proxy)</w:t>
      </w:r>
    </w:p>
    <w:p>
      <w:pPr>
        <w:spacing w:after="120"/>
      </w:pPr>
      <w:r>
        <w:t xml:space="preserve">Not independently pulled this pass. Stock de-rated from ~Rs 3,600 to the low-Rs 1,200s through the trough and has been recovering with the earnings turn.</w:t>
      </w:r>
    </w:p>
    <w:p>
      <w:pPr>
        <w:pStyle w:val="Heading1"/>
        <w:spacing w:after="120" w:before="280"/>
      </w:pPr>
      <w:r>
        <w:t xml:space="preserve">ValuePickr Community Signal</w:t>
      </w:r>
    </w:p>
    <w:p>
      <w:pPr>
        <w:spacing w:after="120"/>
      </w:pPr>
      <w:r>
        <w:t xml:space="preserve">Read the most recent 50 of 295 posts (single batch, spanning Nov 2021-Feb 2025, no escalation needed). This is one of the deepest, highest-quality threads in this batch -- consistent detailed concall notes from multiple well-loved posters (T11, ayushmit, DEBASHISH, YachnaBhatia) across 2021-2025, with ayushmit's Jan 2022 retrospective earning 58 loves. Sentiment cycled from margin pressure (2021-2022, RM/freight costs) to a strong 2024 recovery (T11 and ayushmit both flagged 'two consecutive quarters of comparatively better results,' 29 and 28 loves respectively) to renewed pricing pressure by Feb 2025 ('washout quarter,' gross margins 55%-&gt;46%). harsh.beria93 (trusted) posted Nov 2024 concall notes describing the operating environment as 'challenging, high competition and lower prices.' The FY26 / Q1FY27 recovery post-dates the posts read.</w:t>
      </w:r>
    </w:p>
    <w:p>
      <w:pPr>
        <w:spacing w:after="120"/>
      </w:pPr>
      <w:r>
        <w:rPr>
          <w:b/>
          <w:bCs/>
          <w:sz w:val="20"/>
          <w:szCs w:val="20"/>
        </w:rPr>
        <w:t xml:space="preserve">High-conviction call from a top contributor: </w:t>
      </w:r>
      <w:r>
        <w:rPr>
          <w:sz w:val="20"/>
          <w:szCs w:val="20"/>
        </w:rPr>
        <w:t xml:space="preserve">T11 (trusted, elevated) and ayushmit (not on the trust roster but the single most-loved poster in the thread, 58 loves) both track this stock closely across cycles; T11's Feb 2024 recovery call (29 loves) and harsh.beria93's Nov 2024 notes are the most recent trusted-roster data points. No fresh trusted post covering the confirmed FY26 recovery yet.</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2024-02-17 — T11</w:t>
      </w:r>
      <w:r>
        <w:rPr>
          <w:i/>
          <w:iCs/>
          <w:color w:val="666666"/>
          <w:sz w:val="18"/>
          <w:szCs w:val="18"/>
        </w:rPr>
        <w:t xml:space="preserve"> (NGL Fine-Chem)</w:t>
      </w:r>
      <w:r>
        <w:rPr>
          <w:sz w:val="20"/>
          <w:szCs w:val="20"/>
        </w:rPr>
        <w:br/>
        <w:t xml:space="preserve">: Two consecutive quarters of comparatively better results after a prolonged phase of subdued revenue and margins.</w:t>
      </w:r>
    </w:p>
    <w:p>
      <w:pPr>
        <w:spacing w:after="100"/>
      </w:pPr>
      <w:r>
        <w:rPr>
          <w:b/>
          <w:bCs/>
          <w:sz w:val="20"/>
          <w:szCs w:val="20"/>
        </w:rPr>
        <w:t xml:space="preserve">2024-11-17 — harsh.beria93</w:t>
      </w:r>
      <w:r>
        <w:rPr>
          <w:i/>
          <w:iCs/>
          <w:color w:val="666666"/>
          <w:sz w:val="18"/>
          <w:szCs w:val="18"/>
        </w:rPr>
        <w:t xml:space="preserve"> (NGL Fine-Chem)</w:t>
      </w:r>
      <w:r>
        <w:rPr>
          <w:sz w:val="20"/>
          <w:szCs w:val="20"/>
        </w:rPr>
        <w:br/>
        <w:t xml:space="preserve">: Q2 concall notes: operating environment is challenging, high competition and lower prices.</w:t>
      </w:r>
    </w:p>
    <w:p>
      <w:pPr>
        <w:pStyle w:val="Heading1"/>
        <w:spacing w:after="120" w:before="280"/>
      </w:pPr>
      <w:r>
        <w:t xml:space="preserve">BSE Corporate Actions / Other Red Flags</w:t>
      </w:r>
    </w:p>
    <w:p>
      <w:pPr>
        <w:spacing w:after="120"/>
      </w:pPr>
      <w:r>
        <w:t xml:space="preserve">FY26 results: consolidated revenue Rs 501 Cr, PAT Rs 48 Cr. Q1FY27 board meet 12-Aug-2026: PAT Rs 18.4 Cr (+99% YoY). Promoters confirmed no encumbrance on their shares for FY26. Tarapur Phase II commissioning delayed to early Q2FY27 (gas/labour), commercial production H2FY27.</w:t>
      </w:r>
    </w:p>
    <w:p>
      <w:pPr>
        <w:pStyle w:val="Heading1"/>
        <w:spacing w:after="120" w:before="280"/>
      </w:pPr>
      <w:r>
        <w:t xml:space="preserve">Bull Case</w:t>
      </w:r>
    </w:p>
    <w:p>
      <w:pPr>
        <w:pStyle w:val="ListParagraph"/>
        <w:numPr>
          <w:ilvl w:val="0"/>
          <w:numId w:val="1"/>
        </w:numPr>
        <w:spacing w:after="60"/>
      </w:pPr>
      <w:r>
        <w:t xml:space="preserve">The FY25 margin trough has clearly recovered: FY26 revenue +36%, PAT +128%; Q1FY27 EBITDA margin 16.7% vs 10.5% YoY, PAT +99% — the community's own history said this cyclical pattern recovers, and it has</w:t>
      </w:r>
    </w:p>
    <w:p>
      <w:pPr>
        <w:pStyle w:val="ListParagraph"/>
        <w:numPr>
          <w:ilvl w:val="0"/>
          <w:numId w:val="1"/>
        </w:numPr>
        <w:spacing w:after="60"/>
      </w:pPr>
      <w:r>
        <w:t xml:space="preserve">Forward capacity lever intact: Macrotech brownfield commissioned; Tarapur greenfield Phase I operational, Phase II commercial production H2FY27 (Rs 210 Cr project, most of it already spent)</w:t>
      </w:r>
    </w:p>
    <w:p>
      <w:pPr>
        <w:pStyle w:val="ListParagraph"/>
        <w:numPr>
          <w:ilvl w:val="0"/>
          <w:numId w:val="1"/>
        </w:numPr>
        <w:spacing w:after="60"/>
      </w:pPr>
      <w:r>
        <w:t xml:space="preserve">Regulated (US/EU) market entry expected to contribute from FY28 with a 3-5% EBITDA-margin premium — a genuine mix-up optionality</w:t>
      </w:r>
    </w:p>
    <w:p>
      <w:pPr>
        <w:pStyle w:val="ListParagraph"/>
        <w:numPr>
          <w:ilvl w:val="0"/>
          <w:numId w:val="1"/>
        </w:numPr>
        <w:spacing w:after="60"/>
      </w:pPr>
      <w:r>
        <w:t xml:space="preserve">Revenue CAGR ~18.75% well above the ~5.35% industry median, with conservative leverage (D/E ~17.6%) and a promoter consistently described by long-time trackers as conservative and rational through cycles</w:t>
      </w:r>
    </w:p>
    <w:p>
      <w:pPr>
        <w:pStyle w:val="ListParagraph"/>
        <w:numPr>
          <w:ilvl w:val="0"/>
          <w:numId w:val="1"/>
        </w:numPr>
        <w:spacing w:after="60"/>
      </w:pPr>
      <w:r>
        <w:t xml:space="preserve">Deepest, highest-quality community coverage in this batch — a well-understood, not opaque, situation</w:t>
      </w:r>
    </w:p>
    <w:p>
      <w:pPr>
        <w:pStyle w:val="Heading1"/>
        <w:spacing w:after="120" w:before="280"/>
      </w:pPr>
      <w:r>
        <w:t xml:space="preserve">Bear Case / Key Risks</w:t>
      </w:r>
    </w:p>
    <w:p>
      <w:pPr>
        <w:pStyle w:val="ListParagraph"/>
        <w:numPr>
          <w:ilvl w:val="0"/>
          <w:numId w:val="1"/>
        </w:numPr>
        <w:spacing w:after="60"/>
      </w:pPr>
      <w:r>
        <w:t xml:space="preserve">Genuinely cyclical — margin swings have repeated at least twice (2021-22, 2025) and management itself guides steady-state EBITDA margin back to 15-18% (below the Q1FY27 16.7%, part of which was inventory gain)</w:t>
      </w:r>
    </w:p>
    <w:p>
      <w:pPr>
        <w:pStyle w:val="ListParagraph"/>
        <w:numPr>
          <w:ilvl w:val="0"/>
          <w:numId w:val="1"/>
        </w:numPr>
        <w:spacing w:after="60"/>
      </w:pPr>
      <w:r>
        <w:t xml:space="preserve">Valuation has partly caught up to the recovery: ~39x trailing / ~25x on annualised Q1FY27 — no longer a washed-out entry</w:t>
      </w:r>
    </w:p>
    <w:p>
      <w:pPr>
        <w:pStyle w:val="ListParagraph"/>
        <w:numPr>
          <w:ilvl w:val="0"/>
          <w:numId w:val="1"/>
        </w:numPr>
        <w:spacing w:after="60"/>
      </w:pPr>
      <w:r>
        <w:t xml:space="preserve">Tarapur Phase II already slipped once (gas/labour); execution/commissioning timing risk into H2FY27</w:t>
      </w:r>
    </w:p>
    <w:p>
      <w:pPr>
        <w:pStyle w:val="ListParagraph"/>
        <w:numPr>
          <w:ilvl w:val="0"/>
          <w:numId w:val="1"/>
        </w:numPr>
        <w:spacing w:after="60"/>
      </w:pPr>
      <w:r>
        <w:t xml:space="preserve">Veterinary/human-pharma intermediates is a competitive, price-taking niche; 'high competition and lower prices' was the most recent trusted-tracker read and is a recurring, not one-off, dynamic</w:t>
      </w:r>
    </w:p>
    <w:p>
      <w:pPr>
        <w:pStyle w:val="ListParagraph"/>
        <w:numPr>
          <w:ilvl w:val="0"/>
          <w:numId w:val="1"/>
        </w:numPr>
        <w:spacing w:after="60"/>
      </w:pPr>
      <w:r>
        <w:t xml:space="preserve">No fresh trusted-roster post covering the confirmed FY26 turn</w:t>
      </w:r>
    </w:p>
    <w:p>
      <w:pPr>
        <w:pStyle w:val="Heading1"/>
        <w:spacing w:after="120" w:before="280"/>
      </w:pPr>
      <w:r>
        <w:t xml:space="preserve">Market-Cap Tier (informational — not a gate in this project)</w:t>
      </w:r>
    </w:p>
    <w:p>
      <w:pPr>
        <w:spacing w:after="120"/>
      </w:pPr>
      <w:r>
        <w:rPr>
          <w:b/>
          <w:bCs/>
        </w:rPr>
        <w:t xml:space="preserve">Small/Mid-cap (~Rs 1,861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weak · TAM: weak · moat: weak · valuation: weak  (score 2 / 4)</w:t>
      </w:r>
    </w:p>
    <w:p>
      <w:pPr>
        <w:spacing w:after="120"/>
      </w:pPr>
      <w:r>
        <w:rPr>
          <w:i/>
          <w:iCs/>
          <w:color w:val="666666"/>
          <w:sz w:val="20"/>
          <w:szCs w:val="20"/>
        </w:rPr>
        <w:t xml:space="preserve">tailwind weak — China+1 in veterinary/pharma intermediates is real but the niche has recurring price competition. tam weak — global vet-API market is small; a 10x from Rs 1,861 Cr needs NGL to become a much larger regulated-market API player, a long runway. moat weak — cost/process competitiveness, not pricing power (thread confirms 'high competition, lower prices'). valuation weak — ~25x forward after the recovery move, no longer washed out. Score 2.0. thesis_fit kept 10x-in-2-3-years only via the written 2.0-2.5 exception (un-ignorable recent inflection: FY26 PAT +128%, Q1FY27 PAT +99%; dated catalyst Tarapur Phase II H2FY27 + regulated markets FY28), conviction capped at Medium.</w:t>
      </w:r>
    </w:p>
    <w:p>
      <w:pPr>
        <w:pStyle w:val="Heading1"/>
        <w:spacing w:after="120" w:before="280"/>
      </w:pPr>
      <w:r>
        <w:t xml:space="preserve">Verdict</w:t>
      </w:r>
    </w:p>
    <w:p>
      <w:pPr>
        <w:spacing w:after="120"/>
      </w:pPr>
      <w:r>
        <w:rPr>
          <w:b/>
          <w:bCs/>
          <w:sz w:val="24"/>
          <w:szCs w:val="24"/>
        </w:rPr>
        <w:t xml:space="preserve">A high-quality, debt-light compounder whose cyclical trough has now demonstrably recovered — capacity and regulated-market optionality ahead, but valuation has partly priced the turn and the business stays cyclical</w:t>
      </w:r>
    </w:p>
    <w:p>
      <w:pPr>
        <w:pStyle w:val="ListParagraph"/>
        <w:numPr>
          <w:ilvl w:val="0"/>
          <w:numId w:val="1"/>
        </w:numPr>
        <w:spacing w:after="60"/>
      </w:pPr>
      <w:r>
        <w:t xml:space="preserve">The deep, consistent multi-year community scrutiny corroborates the long-term growth story, and FY26 + Q1FY27 results now confirm the cyclical recovery that earlier pass had to treat as unconfirmed</w:t>
      </w:r>
    </w:p>
    <w:p>
      <w:pPr>
        <w:pStyle w:val="ListParagraph"/>
        <w:numPr>
          <w:ilvl w:val="0"/>
          <w:numId w:val="1"/>
        </w:numPr>
        <w:spacing w:after="60"/>
      </w:pPr>
      <w:r>
        <w:t xml:space="preserve">four_box scores 2.0 (all four boxes weak — cyclical niche, competitive pricing, valuation partly caught up). Written exception invoked under the 2.0-2.5 rule: the recent-quarter inflection is un-ignorable (FY26 PAT +128%, Q1FY27 PAT +99%, margins near-doubled YoY) and there is a dated forward catalyst (Tarapur Phase II H2FY27, regulated markets FY28) in a Rs 1,861 Cr small-cap — so thesis_fit stays 10x-in-2-3-years with conviction capped at Medium and an explicit 'cyclical / valuation partly priced' caveat, not 'neither'</w:t>
      </w:r>
    </w:p>
    <w:p>
      <w:pPr>
        <w:pStyle w:val="ListParagraph"/>
        <w:numPr>
          <w:ilvl w:val="0"/>
          <w:numId w:val="1"/>
        </w:numPr>
        <w:spacing w:after="60"/>
      </w:pPr>
      <w:r>
        <w:t xml:space="preserve">Conviction held at Medium: the recovery is confirmed (upgrade from 'trough, wait') but steady-state margins are guided lower than Q1FY27, valuation has partly re-rated, and Phase II timing has already slipped once</w:t>
      </w:r>
    </w:p>
    <w:p>
      <w:pPr>
        <w:pStyle w:val="ListParagraph"/>
        <w:numPr>
          <w:ilvl w:val="0"/>
          <w:numId w:val="1"/>
        </w:numPr>
        <w:spacing w:after="60"/>
      </w:pPr>
      <w:r>
        <w:t xml:space="preserve">No red flag (conservative promoter, nil encumbrance, D/E ~17.6%). Re-rate higher if steady-state EBITDA margin holds &gt;=17% across FY27 with Phase II commissioned on the revised schedule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2026-09-08T14:22:53.628Z</dcterms:created>
  <dcterms:modified xsi:type="dcterms:W3CDTF">2026-09-08T14:22:53.634Z</dcterms:modified>
</cp:coreProperties>
</file>

<file path=docProps/custom.xml><?xml version="1.0" encoding="utf-8"?>
<Properties xmlns="http://schemas.openxmlformats.org/officeDocument/2006/custom-properties" xmlns:vt="http://schemas.openxmlformats.org/officeDocument/2006/docPropsVTypes"/>
</file>