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PC Jeweller Ltd</w:t>
      </w:r>
    </w:p>
    <w:p>
      <w:pPr>
        <w:pBdr>
          <w:bottom w:val="single" w:color="CCCCCC" w:sz="6" w:space="8"/>
        </w:pBdr>
        <w:spacing w:after="200"/>
      </w:pPr>
      <w:r>
        <w:rPr>
          <w:i/>
          <w:iCs/>
          <w:color w:val="666666"/>
          <w:sz w:val="22"/>
          <w:szCs w:val="22"/>
        </w:rPr>
        <w:t xml:space="preserve">Debt-restructured jewellery turnaround with improving QoQ operations and showroom re-expansion - but an egregious governance history (alleged ~Rs 1,500 Cr siphoning, SEBI insider-trading action, a ~Rs 1,514 Cr FEMA export-proceeds delay regularised via condonation), declining multi-year revenue, and experienced VP members flagging it as a classic value trap</w:t>
      </w:r>
    </w:p>
    <w:p>
      <w:pPr>
        <w:shd w:fill="FFF0F0" w:val="clear"/>
        <w:spacing w:after="200"/>
      </w:pPr>
      <w:r>
        <w:rPr>
          <w:b/>
          <w:bCs/>
          <w:color w:val="B8860B"/>
          <w:sz w:val="22"/>
          <w:szCs w:val="22"/>
        </w:rPr>
        <w:t xml:space="preserve">RED FLAG TIER: HIGH CAUTION — </w:t>
      </w:r>
      <w:r>
        <w:rPr>
          <w:sz w:val="20"/>
          <w:szCs w:val="20"/>
        </w:rPr>
        <w:t xml:space="preserve">Auditor emphasis of matter (Q3FY25) on ~Rs 1,514 Cr export proceeds delayed beyond FEMA timelines (regularised via condonation + ~Rs 7 Cr penalty), on top of long-standing prior-promoter siphoning allegations (~Rs 1,500 Cr) and historical SEBI insider-trading action. Debt eliminated via equity dilution, not operating cash flow.</w:t>
      </w:r>
    </w:p>
    <w:p>
      <w:pPr>
        <w:pStyle w:val="Heading1"/>
        <w:spacing w:after="120" w:before="280"/>
      </w:pPr>
      <w:r>
        <w:t xml:space="preserve">Business Overview</w:t>
      </w:r>
    </w:p>
    <w:p>
      <w:pPr>
        <w:spacing w:after="120"/>
      </w:pPr>
      <w:r>
        <w:t xml:space="preserve">North-India-focused jewellery retailer/manufacturer. After a severe balance-sheet crisis it has paid down or converted bank debt to equity (lenders took shares at a low price post the 1:10 split), is reporting sequential operating improvement over the last 3-4 quarters, and is adding showrooms. The equity base is hugely enlarged by the debt-to-equity conversion, so the ~Rs 11,500 Cr market cap sits on a near-penny share price (~Rs 7-15). (Source: forum discovery, first_seen 2026-09-07.)</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11,566 Cr (Sep-26; inflated by post-conversion share count)</w:t>
            </w:r>
          </w:p>
        </w:tc>
      </w:tr>
      <w:tr>
        <w:tc>
          <w:tcPr>
            <w:tcW w:type="dxa" w:w="3200"/>
            <w:shd w:fill="F2F2F2" w:val="clear"/>
          </w:tcPr>
          <w:p>
            <w:r>
              <w:rPr>
                <w:b/>
                <w:bCs/>
              </w:rPr>
              <w:t xml:space="preserve">52-week range</w:t>
            </w:r>
          </w:p>
        </w:tc>
        <w:tc>
          <w:tcPr>
            <w:tcW w:type="dxa" w:w="5800"/>
          </w:tcPr>
          <w:p>
            <w:r>
              <w:t xml:space="preserve">~Rs 7.5 - Rs 15.4 (NSE)</w:t>
            </w:r>
          </w:p>
        </w:tc>
      </w:tr>
      <w:tr>
        <w:tc>
          <w:tcPr>
            <w:tcW w:type="dxa" w:w="3200"/>
            <w:shd w:fill="F2F2F2" w:val="clear"/>
          </w:tcPr>
          <w:p>
            <w:r>
              <w:rPr>
                <w:b/>
                <w:bCs/>
              </w:rPr>
              <w:t xml:space="preserve">ROCE / ROE</w:t>
            </w:r>
          </w:p>
        </w:tc>
        <w:tc>
          <w:tcPr>
            <w:tcW w:type="dxa" w:w="5800"/>
          </w:tcPr>
          <w:p>
            <w:r>
              <w:t xml:space="preserve">ROCE ~11.6%; ROE ~4.4% (3-yr) - weak</w:t>
            </w:r>
          </w:p>
        </w:tc>
      </w:tr>
      <w:tr>
        <w:tc>
          <w:tcPr>
            <w:tcW w:type="dxa" w:w="3200"/>
            <w:shd w:fill="F2F2F2" w:val="clear"/>
          </w:tcPr>
          <w:p>
            <w:r>
              <w:rPr>
                <w:b/>
                <w:bCs/>
              </w:rPr>
              <w:t xml:space="preserve">Revenue growth</w:t>
            </w:r>
          </w:p>
        </w:tc>
        <w:tc>
          <w:tcPr>
            <w:tcW w:type="dxa" w:w="5800"/>
          </w:tcPr>
          <w:p>
            <w:r>
              <w:t xml:space="preserve">-14.6% CAGR on one measure; ~3.5% over 5 years - multi-year decline; recent quarter +11% YoY</w:t>
            </w:r>
          </w:p>
        </w:tc>
      </w:tr>
      <w:tr>
        <w:tc>
          <w:tcPr>
            <w:tcW w:type="dxa" w:w="3200"/>
            <w:shd w:fill="F2F2F2" w:val="clear"/>
          </w:tcPr>
          <w:p>
            <w:r>
              <w:rPr>
                <w:b/>
                <w:bCs/>
              </w:rPr>
              <w:t xml:space="preserve">Debt</w:t>
            </w:r>
          </w:p>
        </w:tc>
        <w:tc>
          <w:tcPr>
            <w:tcW w:type="dxa" w:w="5800"/>
          </w:tcPr>
          <w:p>
            <w:r>
              <w:t xml:space="preserve">~Zero total debt now - achieved via equity dilution / conversion, not cash generation</w:t>
            </w:r>
          </w:p>
        </w:tc>
      </w:tr>
    </w:tbl>
    <w:p>
      <w:pPr>
        <w:spacing w:after="100"/>
      </w:pPr>
    </w:p>
    <w:p>
      <w:pPr>
        <w:spacing w:after="120"/>
      </w:pPr>
      <w:r>
        <w:t xml:space="preserve">The operational turnaround is visible in the numbers - QoQ improvement for several quarters, debt cleared, showrooms reopening - and turnaround bulls note that when jewellery turnarounds work the returns are large. But the base rate here is poor: multi-year revenue has declined, 3-year ROE is ~4.4%, the debt was cleared by diluting equity rather than by operating cash flow, and the auditor's Q3FY25 emphasis of matter on ~Rs 1,514 Cr of export proceeds delayed beyond FEMA timelines (since regularised via condonation applications and a ~Rs 7 Cr penalty) sits on top of years of prior-promoter allegations. Multiple long-tenured forum members explicitly call it a fraud/value-trap and cite the historical AGM where bouncers were used and no answers were given on the alleged siphoned amount.</w:t>
      </w:r>
    </w:p>
    <w:p>
      <w:pPr>
        <w:pStyle w:val="Heading1"/>
        <w:spacing w:after="120" w:before="280"/>
      </w:pPr>
      <w:r>
        <w:t xml:space="preserve">Technical Read (Weekly / Monthly MACD + Bollinger Bands, or RSI/CCI/Williams %R proxy)</w:t>
      </w:r>
    </w:p>
    <w:p>
      <w:pPr>
        <w:spacing w:after="120"/>
      </w:pPr>
      <w:r>
        <w:t xml:space="preserve">Not pulled - governance history and weak base rate settle the assessment.</w:t>
      </w:r>
    </w:p>
    <w:p>
      <w:pPr>
        <w:pStyle w:val="Heading1"/>
        <w:spacing w:after="120" w:before="280"/>
      </w:pPr>
      <w:r>
        <w:t xml:space="preserve">ValuePickr Community Signal</w:t>
      </w:r>
    </w:p>
    <w:p>
      <w:pPr>
        <w:spacing w:after="120"/>
      </w:pPr>
      <w:r>
        <w:t xml:space="preserve">790-post thread; the recent stretch is dominated by caution. The_Seeker took a small 'money I can risk' position and repeatedly warns others to read the auditor comments; MHS points to the thread's own post #299 ('we won't learn from history') and the classic 80%-down-then-another-80%-down pattern; Cshar calls it 'one of the most fraud companies I have ever seen' from personal AGM experience. A minority (lukcul, Mukesh_Poonia) are intrigued by the revenue recovery and the lenders' equity conversion price. VijayArora11 (Sep-26) lays out the working-capital mechanics of the old borrow-to-pay-suppliers model.</w:t>
      </w:r>
    </w:p>
    <w:p>
      <w:pPr>
        <w:spacing w:after="120"/>
      </w:pPr>
      <w:r>
        <w:rPr>
          <w:b/>
          <w:bCs/>
          <w:sz w:val="20"/>
          <w:szCs w:val="20"/>
        </w:rPr>
        <w:t xml:space="preserve">High-conviction call from a top contributor: </w:t>
      </w:r>
      <w:r>
        <w:rPr>
          <w:sz w:val="20"/>
          <w:szCs w:val="20"/>
        </w:rPr>
        <w:t xml:space="preserve">No trusted-user endorsement. The experienced-member consensus is strongly cautionary - treat as a speculative turnaround at best, likely a value trap.</w:t>
      </w:r>
    </w:p>
    <w:p>
      <w:pPr>
        <w:pStyle w:val="Heading1"/>
        <w:spacing w:after="120" w:before="280"/>
      </w:pPr>
      <w:r>
        <w:t xml:space="preserve">BSE Corporate Actions / Other Red Flags</w:t>
      </w:r>
    </w:p>
    <w:p>
      <w:pPr>
        <w:spacing w:after="120"/>
      </w:pPr>
      <w:r>
        <w:t xml:space="preserve">HIGH CAUTION. Historical SEBI action related to insider trading / the 2018 bonus-issue withdrawal; long-standing allegations of ~Rs 1,500 Cr siphoned by prior promoters; auditor emphasis of matter (Q3FY25) on ~Rs 1,514 Cr export proceeds delayed beyond FEMA limits, since regularised via condonation applications and a ~Rs 7 Cr penalty. Debt eliminated through equity dilution / lender conversion. No evidence in this pass of a currently-active SEBI fraud proceeding, but the governance record is severe.</w:t>
      </w:r>
    </w:p>
    <w:p>
      <w:pPr>
        <w:pStyle w:val="Heading1"/>
        <w:spacing w:after="120" w:before="280"/>
      </w:pPr>
      <w:r>
        <w:t xml:space="preserve">Bull Case</w:t>
      </w:r>
    </w:p>
    <w:p>
      <w:pPr>
        <w:pStyle w:val="ListParagraph"/>
        <w:numPr>
          <w:ilvl w:val="0"/>
          <w:numId w:val="1"/>
        </w:numPr>
        <w:spacing w:after="60"/>
      </w:pPr>
      <w:r>
        <w:t xml:space="preserve">Operational turnaround visible - 3-4 quarters of sequential improvement, debt cleared, showrooms re-expanding</w:t>
      </w:r>
    </w:p>
    <w:p>
      <w:pPr>
        <w:pStyle w:val="ListParagraph"/>
        <w:numPr>
          <w:ilvl w:val="0"/>
          <w:numId w:val="1"/>
        </w:numPr>
        <w:spacing w:after="60"/>
      </w:pPr>
      <w:r>
        <w:t xml:space="preserve">Gold at all-time highs is a sector tailwind for jewellery revenue and inventory gains</w:t>
      </w:r>
    </w:p>
    <w:p>
      <w:pPr>
        <w:pStyle w:val="ListParagraph"/>
        <w:numPr>
          <w:ilvl w:val="0"/>
          <w:numId w:val="1"/>
        </w:numPr>
        <w:spacing w:after="60"/>
      </w:pPr>
      <w:r>
        <w:t xml:space="preserve">If a jewellery turnaround genuinely takes, historical precedent says returns can be large</w:t>
      </w:r>
    </w:p>
    <w:p>
      <w:pPr>
        <w:pStyle w:val="Heading1"/>
        <w:spacing w:after="120" w:before="280"/>
      </w:pPr>
      <w:r>
        <w:t xml:space="preserve">Bear Case / Key Risks</w:t>
      </w:r>
    </w:p>
    <w:p>
      <w:pPr>
        <w:pStyle w:val="ListParagraph"/>
        <w:numPr>
          <w:ilvl w:val="0"/>
          <w:numId w:val="1"/>
        </w:numPr>
        <w:spacing w:after="60"/>
      </w:pPr>
      <w:r>
        <w:t xml:space="preserve">Severe governance history - alleged ~Rs 1,500 Cr siphoning, SEBI insider-trading action, ~Rs 1,514 Cr FEMA export-proceeds delay</w:t>
      </w:r>
    </w:p>
    <w:p>
      <w:pPr>
        <w:pStyle w:val="ListParagraph"/>
        <w:numPr>
          <w:ilvl w:val="0"/>
          <w:numId w:val="1"/>
        </w:numPr>
        <w:spacing w:after="60"/>
      </w:pPr>
      <w:r>
        <w:t xml:space="preserve">Multi-year revenue decline; 3-year ROE ~4.4%; debt cleared by dilution, not cash flow</w:t>
      </w:r>
    </w:p>
    <w:p>
      <w:pPr>
        <w:pStyle w:val="ListParagraph"/>
        <w:numPr>
          <w:ilvl w:val="0"/>
          <w:numId w:val="1"/>
        </w:numPr>
        <w:spacing w:after="60"/>
      </w:pPr>
      <w:r>
        <w:t xml:space="preserve">Experienced VP members with direct AGM experience call it a fraud/value trap</w:t>
      </w:r>
    </w:p>
    <w:p>
      <w:pPr>
        <w:pStyle w:val="ListParagraph"/>
        <w:numPr>
          <w:ilvl w:val="0"/>
          <w:numId w:val="1"/>
        </w:numPr>
        <w:spacing w:after="60"/>
      </w:pPr>
      <w:r>
        <w:t xml:space="preserve">'Cheap because it fell 80%' is the textbook trap setup flagged in the thread's own history</w:t>
      </w:r>
    </w:p>
    <w:p>
      <w:pPr>
        <w:pStyle w:val="ListParagraph"/>
        <w:numPr>
          <w:ilvl w:val="0"/>
          <w:numId w:val="1"/>
        </w:numPr>
        <w:spacing w:after="60"/>
      </w:pPr>
      <w:r>
        <w:t xml:space="preserve">No moat, damaged brand, OPM-vs-peers gap that forum members find hard to explain benignly</w:t>
      </w:r>
    </w:p>
    <w:p>
      <w:pPr>
        <w:pStyle w:val="Heading1"/>
        <w:spacing w:after="120" w:before="280"/>
      </w:pPr>
      <w:r>
        <w:t xml:space="preserve">Market-Cap Tier (informational — not a gate in this project)</w:t>
      </w:r>
    </w:p>
    <w:p>
      <w:pPr>
        <w:spacing w:after="120"/>
      </w:pPr>
      <w:r>
        <w:rPr>
          <w:b/>
          <w:bCs/>
        </w:rPr>
        <w:t xml:space="preserve">Large-cap by market cap (~Rs 11,500 Cr) but a near-penny share price on a diluted base</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no · moat: no · valuation: no  (score 0.5 / 4)</w:t>
      </w:r>
    </w:p>
    <w:p>
      <w:pPr>
        <w:spacing w:after="120"/>
      </w:pPr>
      <w:r>
        <w:rPr>
          <w:i/>
          <w:iCs/>
          <w:color w:val="666666"/>
          <w:sz w:val="20"/>
          <w:szCs w:val="20"/>
        </w:rPr>
        <w:t xml:space="preserve">Red-flagged (HIGH CAUTION); gold ATH is a weak sector positive but revenue is declining, brand and moat are impaired, and the low price reflects distress rather than value</w:t>
      </w:r>
    </w:p>
    <w:p>
      <w:pPr>
        <w:pStyle w:val="Heading1"/>
        <w:spacing w:after="120" w:before="280"/>
      </w:pPr>
      <w:r>
        <w:t xml:space="preserve">Verdict</w:t>
      </w:r>
    </w:p>
    <w:p>
      <w:pPr>
        <w:spacing w:after="120"/>
      </w:pPr>
      <w:r>
        <w:rPr>
          <w:b/>
          <w:bCs/>
          <w:sz w:val="24"/>
          <w:szCs w:val="24"/>
        </w:rPr>
        <w:t xml:space="preserve">Operational turnaround is real but the governance record is egregious and the base rate poor - HIGH CAUTION, capped at Low. thesis_fit 'neither', conviction Low.</w:t>
      </w:r>
    </w:p>
    <w:p>
      <w:pPr>
        <w:pStyle w:val="ListParagraph"/>
        <w:numPr>
          <w:ilvl w:val="0"/>
          <w:numId w:val="1"/>
        </w:numPr>
        <w:spacing w:after="60"/>
      </w:pPr>
      <w:r>
        <w:t xml:space="preserve">Red flag: HIGH CAUTION - auditor emphasis of matter on a ~Rs 1,514 Cr FEMA export-proceeds delay, layered on long-standing prior-promoter siphoning allegations and historical SEBI insider-trading action. Per the conviction rules this keeps research going but caps conviction at Low-Medium; given the severity and the weak base rate, set at Low</w:t>
      </w:r>
    </w:p>
    <w:p>
      <w:pPr>
        <w:pStyle w:val="ListParagraph"/>
        <w:numPr>
          <w:ilvl w:val="0"/>
          <w:numId w:val="1"/>
        </w:numPr>
        <w:spacing w:after="60"/>
      </w:pPr>
      <w:r>
        <w:t xml:space="preserve">four_box (for completeness): tailwind weak (gold ATH helps the sector but PCJ has been losing share), tam no (large jewellery market but PCJ revenue declining), moat no (brand damaged, no pricing power, suspicious OPM gap), valuation no ('cheap after an 80% fall' trap) -&gt; score 0.5 -&gt; thesis_fit 'neither', hard</w:t>
      </w:r>
    </w:p>
    <w:p>
      <w:pPr>
        <w:pStyle w:val="ListParagraph"/>
        <w:numPr>
          <w:ilvl w:val="0"/>
          <w:numId w:val="1"/>
        </w:numPr>
        <w:spacing w:after="60"/>
      </w:pPr>
      <w:r>
        <w:t xml:space="preserve">No trusted-user endorsement; experienced-member consensus is strongly cautionary</w:t>
      </w:r>
    </w:p>
    <w:p>
      <w:pPr>
        <w:pStyle w:val="ListParagraph"/>
        <w:numPr>
          <w:ilvl w:val="0"/>
          <w:numId w:val="1"/>
        </w:numPr>
        <w:spacing w:after="60"/>
      </w:pPr>
      <w:r>
        <w:t xml:space="preserve">No live-theme match (gold-loan financiers is a different theme); no value_chain block</w:t>
      </w:r>
    </w:p>
    <w:p>
      <w:pPr>
        <w:pStyle w:val="ListParagraph"/>
        <w:numPr>
          <w:ilvl w:val="0"/>
          <w:numId w:val="1"/>
        </w:numPr>
        <w:spacing w:after="60"/>
      </w:pPr>
      <w:r>
        <w:t xml:space="preserve">Re-check trigger: confirmation there is no active SEBI/ED/enforcement proceeding; several more quarters of clean, cash-backed (not dilution-backed) improvement; auditor report with no emphasis of matter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2026-09-07T14:28:52.681Z</dcterms:created>
  <dcterms:modified xsi:type="dcterms:W3CDTF">2026-09-07T14:28:52.682Z</dcterms:modified>
</cp:coreProperties>
</file>

<file path=docProps/custom.xml><?xml version="1.0" encoding="utf-8"?>
<Properties xmlns="http://schemas.openxmlformats.org/officeDocument/2006/custom-properties" xmlns:vt="http://schemas.openxmlformats.org/officeDocument/2006/docPropsVTypes"/>
</file>