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Punjab Chemicals &amp; Crop Protection Ltd</w:t>
      </w:r>
    </w:p>
    <w:p>
      <w:pPr>
        <w:pBdr>
          <w:bottom w:val="single" w:color="CCCCCC" w:sz="6" w:space="8"/>
        </w:pBdr>
        <w:spacing w:after="200"/>
      </w:pPr>
      <w:r>
        <w:rPr>
          <w:i/>
          <w:iCs/>
          <w:color w:val="666666"/>
          <w:sz w:val="22"/>
          <w:szCs w:val="22"/>
        </w:rPr>
        <w:t xml:space="preserve">Agrochemical CRAMS/specialty-chemical maker with ~31% through-cycle ROCE, out of the FY23-25 downcycle on an export-led recovery, at a reasonable ~15x forward - but the FY27 recovery is modest and back-end-loaded and guidance has a history of slipping</w:t>
      </w:r>
    </w:p>
    <w:p>
      <w:pPr>
        <w:pStyle w:val="Heading1"/>
        <w:spacing w:after="120" w:before="280"/>
      </w:pPr>
      <w:r>
        <w:t xml:space="preserve">Business Overview</w:t>
      </w:r>
    </w:p>
    <w:p>
      <w:pPr>
        <w:spacing w:after="120"/>
      </w:pPr>
      <w:r>
        <w:t xml:space="preserve">Contract manufacturer (CRAMS) of agrochemical active ingredients and specialty/industrial chemicals (including food-grade phosphoric acid supplied to Pepsi/Coca-Cola), with UPL as its largest customer. Top-2 customers account for roughly 55% of sales. ~25-product R&amp;D pipeline; three exclusive MOUs with international agrichemical customers under commercialisation.</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1,358 Cr; P/E ~21x trailing (FY26), ~15x on annualised Q1FY27</w:t>
            </w:r>
          </w:p>
        </w:tc>
      </w:tr>
      <w:tr>
        <w:tc>
          <w:tcPr>
            <w:tcW w:type="dxa" w:w="3200"/>
            <w:shd w:fill="F2F2F2" w:val="clear"/>
          </w:tcPr>
          <w:p>
            <w:r>
              <w:rPr>
                <w:b/>
                <w:bCs/>
              </w:rPr>
              <w:t xml:space="preserve">ROCE / ROE</w:t>
            </w:r>
          </w:p>
        </w:tc>
        <w:tc>
          <w:tcPr>
            <w:tcW w:type="dxa" w:w="5800"/>
          </w:tcPr>
          <w:p>
            <w:r>
              <w:t xml:space="preserve">ROCE ~31% / ROE ~24% - maintained through the FY23-25 downcycle</w:t>
            </w:r>
          </w:p>
        </w:tc>
      </w:tr>
      <w:tr>
        <w:tc>
          <w:tcPr>
            <w:tcW w:type="dxa" w:w="3200"/>
            <w:shd w:fill="F2F2F2" w:val="clear"/>
          </w:tcPr>
          <w:p>
            <w:r>
              <w:rPr>
                <w:b/>
                <w:bCs/>
              </w:rPr>
              <w:t xml:space="preserve">Debt</w:t>
            </w:r>
          </w:p>
        </w:tc>
        <w:tc>
          <w:tcPr>
            <w:tcW w:type="dxa" w:w="5800"/>
          </w:tcPr>
          <w:p>
            <w:r>
              <w:t xml:space="preserve">~Rs 94 Cr (low)</w:t>
            </w:r>
          </w:p>
        </w:tc>
      </w:tr>
      <w:tr>
        <w:tc>
          <w:tcPr>
            <w:tcW w:type="dxa" w:w="3200"/>
            <w:shd w:fill="F2F2F2" w:val="clear"/>
          </w:tcPr>
          <w:p>
            <w:r>
              <w:rPr>
                <w:b/>
                <w:bCs/>
              </w:rPr>
              <w:t xml:space="preserve">FY26</w:t>
            </w:r>
          </w:p>
        </w:tc>
        <w:tc>
          <w:tcPr>
            <w:tcW w:type="dxa" w:w="5800"/>
          </w:tcPr>
          <w:p>
            <w:r>
              <w:t xml:space="preserve">Revenue Rs 1,030 Cr (+~15% YoY), PAT Rs 64 Cr, 30% dividend</w:t>
            </w:r>
          </w:p>
        </w:tc>
      </w:tr>
      <w:tr>
        <w:tc>
          <w:tcPr>
            <w:tcW w:type="dxa" w:w="3200"/>
            <w:shd w:fill="F2F2F2" w:val="clear"/>
          </w:tcPr>
          <w:p>
            <w:r>
              <w:rPr>
                <w:b/>
                <w:bCs/>
              </w:rPr>
              <w:t xml:space="preserve">Q1 FY27</w:t>
            </w:r>
          </w:p>
        </w:tc>
        <w:tc>
          <w:tcPr>
            <w:tcW w:type="dxa" w:w="5800"/>
          </w:tcPr>
          <w:p>
            <w:r>
              <w:t xml:space="preserve">Revenue Rs 347.2 Cr (+8.7% YoY), EBITDA Rs 40.8 Cr (+18.8%, margin ~11.75%), PAT Rs 22.1 Cr (+7% YoY); gross margin +350bps to 36.6%. Exports Rs 157 Cr (from Rs 124 Cr); domestic ~flat at Rs 190 Cr</w:t>
            </w:r>
          </w:p>
        </w:tc>
      </w:tr>
      <w:tr>
        <w:tc>
          <w:tcPr>
            <w:tcW w:type="dxa" w:w="3200"/>
            <w:shd w:fill="F2F2F2" w:val="clear"/>
          </w:tcPr>
          <w:p>
            <w:r>
              <w:rPr>
                <w:b/>
                <w:bCs/>
              </w:rPr>
              <w:t xml:space="preserve">FY27 guidance</w:t>
            </w:r>
          </w:p>
        </w:tc>
        <w:tc>
          <w:tcPr>
            <w:tcW w:type="dxa" w:w="5800"/>
          </w:tcPr>
          <w:p>
            <w:r>
              <w:t xml:space="preserve">15-20% revenue growth, H2-weighted; new products targeted at 15-18% of FY27 revenue, volume pick-up from Q4FY27</w:t>
            </w:r>
          </w:p>
        </w:tc>
      </w:tr>
      <w:tr>
        <w:tc>
          <w:tcPr>
            <w:tcW w:type="dxa" w:w="3200"/>
            <w:shd w:fill="F2F2F2" w:val="clear"/>
          </w:tcPr>
          <w:p>
            <w:r>
              <w:rPr>
                <w:b/>
                <w:bCs/>
              </w:rPr>
              <w:t xml:space="preserve">Capex / catalyst</w:t>
            </w:r>
          </w:p>
        </w:tc>
        <w:tc>
          <w:tcPr>
            <w:tcW w:type="dxa" w:w="5800"/>
          </w:tcPr>
          <w:p>
            <w:r>
              <w:t xml:space="preserve">~Rs 100 Cr for two new multi-purpose blocks + debottlenecking; Rs 120-150 Cr incremental revenue potential over 2-3 years. 2 of 3 MOU products have supplied commercial test lots. R&amp;D spend to double over two years</w:t>
            </w:r>
          </w:p>
        </w:tc>
      </w:tr>
      <w:tr>
        <w:tc>
          <w:tcPr>
            <w:tcW w:type="dxa" w:w="3200"/>
            <w:shd w:fill="F2F2F2" w:val="clear"/>
          </w:tcPr>
          <w:p>
            <w:r>
              <w:rPr>
                <w:b/>
                <w:bCs/>
              </w:rPr>
              <w:t xml:space="preserve">Revenue history</w:t>
            </w:r>
          </w:p>
        </w:tc>
        <w:tc>
          <w:tcPr>
            <w:tcW w:type="dxa" w:w="5800"/>
          </w:tcPr>
          <w:p>
            <w:r>
              <w:t xml:space="preserve">5yr sales CAGR ~8.7% (weak - spans the downcycle)</w:t>
            </w:r>
          </w:p>
        </w:tc>
      </w:tr>
      <w:tr>
        <w:tc>
          <w:tcPr>
            <w:tcW w:type="dxa" w:w="3200"/>
            <w:shd w:fill="F2F2F2" w:val="clear"/>
          </w:tcPr>
          <w:p>
            <w:r>
              <w:rPr>
                <w:b/>
                <w:bCs/>
              </w:rPr>
              <w:t xml:space="preserve">52-week range</w:t>
            </w:r>
          </w:p>
        </w:tc>
        <w:tc>
          <w:tcPr>
            <w:tcW w:type="dxa" w:w="5800"/>
          </w:tcPr>
          <w:p>
            <w:r>
              <w:t xml:space="preserve">Rs 669.55 - 1,664.95</w:t>
            </w:r>
          </w:p>
        </w:tc>
      </w:tr>
    </w:tbl>
    <w:p>
      <w:pPr>
        <w:spacing w:after="100"/>
      </w:pPr>
    </w:p>
    <w:p>
      <w:pPr>
        <w:spacing w:after="120"/>
      </w:pPr>
      <w:r>
        <w:t xml:space="preserve">Punjab Chemicals held ROCE ~31% and ROE ~24% right through the FY23-25 agrochem downcycle (Chinese oversupply/destocking), and its gross margins stayed better than most listed agrochem peers - genuine molecule-level differentiation in its CRAMS basket. FY26 was the first clean recovery (revenue ~Rs 1,030 Cr, PAT Rs 64 Cr, 30% dividend). Q1FY27 continued it but modestly: revenue +8.7% (decelerating from FY26's ~15%), PAT +7%, entirely export-led (exports +27% to Rs 157 Cr, domestic flat), though gross margin expanded 350bps to 36.6% and EBITDA rose 18.8%. The forward catalyst is specific but small and back-end-loaded: three exclusive MOUs (2 now supplying commercial test lots) targeted at 15-18% of FY27 revenue with volume only from Q4FY27, plus ~Rs 100 Cr capex for two multi-purpose blocks adding Rs 120-150 Cr revenue potential over 2-3 years. Management guides 15-20% FY27 revenue growth (H2-weighted), but its Rs 1,500 Cr target has slipped repeatedly since FY24. Valuation is reasonable at ~15x forward / ~21x trailing, and debt is low (~Rs 94 Cr). Client concentration (top-2 ~55%) remains the structural risk.</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2026-09-08.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Punjab Chemicals Q1 FY27 result coverage (sahi.com, whalesbook, equitybulls, scanx.trade): revenue Rs 347.2 Cr +8.7%, EBITDA Rs 40.8 Cr +18.8%, PAT Rs 22.1 Cr +7%, gross margin 36.6%</w:t>
      </w:r>
    </w:p>
    <w:p>
      <w:pPr>
        <w:pStyle w:val="ListParagraph"/>
        <w:numPr>
          <w:ilvl w:val="0"/>
          <w:numId w:val="1"/>
        </w:numPr>
        <w:spacing w:after="60"/>
      </w:pPr>
      <w:r>
        <w:t xml:space="preserve">Q1 FY27 earnings-call notes (gurufocus transcript, scanx.trade): MOU commercialisation status, ~Rs 100 Cr capex, FY27 15-20% revenue-growth guidance, R&amp;D doubling, ~25-product pipeline</w:t>
      </w:r>
    </w:p>
    <w:p>
      <w:pPr>
        <w:pStyle w:val="ListParagraph"/>
        <w:numPr>
          <w:ilvl w:val="0"/>
          <w:numId w:val="1"/>
        </w:numPr>
        <w:spacing w:after="60"/>
      </w:pPr>
      <w:r>
        <w:t xml:space="preserve">FY26 annual figures (scanx.trade): revenue Rs 1,030 Cr, PAT Rs 64 Cr, 30% dividend</w:t>
      </w:r>
    </w:p>
    <w:p>
      <w:pPr>
        <w:pStyle w:val="ListParagraph"/>
        <w:numPr>
          <w:ilvl w:val="0"/>
          <w:numId w:val="1"/>
        </w:numPr>
        <w:spacing w:after="60"/>
      </w:pPr>
      <w:r>
        <w:t xml:space="preserve">screener.in/company/PUNJABCHEM/consolidated (ROCE ~31%, ROE ~24%, debt ~Rs 94 Cr)</w:t>
      </w:r>
    </w:p>
    <w:p>
      <w:pPr>
        <w:pStyle w:val="ListParagraph"/>
        <w:numPr>
          <w:ilvl w:val="0"/>
          <w:numId w:val="1"/>
        </w:numPr>
        <w:spacing w:after="60"/>
      </w:pPr>
      <w:r>
        <w:t xml:space="preserve">VP thread post #87 (Jan 2026, harsh.beria93): 3 exclusive MOUs, Rs 60 Cr capex, Rs 120-150 Cr incremental revenue target</w:t>
      </w:r>
    </w:p>
    <w:p>
      <w:pPr>
        <w:spacing w:after="120"/>
      </w:pPr>
      <w:r>
        <w:rPr>
          <w:b/>
          <w:bCs/>
          <w:sz w:val="20"/>
          <w:szCs w:val="20"/>
        </w:rPr>
        <w:t xml:space="preserve">Annual-report findings (3-year view):</w:t>
      </w:r>
    </w:p>
    <w:p>
      <w:pPr>
        <w:pStyle w:val="ListParagraph"/>
        <w:numPr>
          <w:ilvl w:val="0"/>
          <w:numId w:val="1"/>
        </w:numPr>
        <w:spacing w:after="60"/>
      </w:pPr>
      <w:r>
        <w:t xml:space="preserve">ROCE ~31% / ROE ~24% sustained through FY23-FY25 despite the agrochem downcycle - the standout signal</w:t>
      </w:r>
    </w:p>
    <w:p>
      <w:pPr>
        <w:pStyle w:val="ListParagraph"/>
        <w:numPr>
          <w:ilvl w:val="0"/>
          <w:numId w:val="1"/>
        </w:numPr>
        <w:spacing w:after="60"/>
      </w:pPr>
      <w:r>
        <w:t xml:space="preserve">Gross margins held better than listed agrochem peers through Chinese-dumping destocking; expanded 350bps YoY in Q1FY27 to 36.6%</w:t>
      </w:r>
    </w:p>
    <w:p>
      <w:pPr>
        <w:pStyle w:val="ListParagraph"/>
        <w:numPr>
          <w:ilvl w:val="0"/>
          <w:numId w:val="1"/>
        </w:numPr>
        <w:spacing w:after="60"/>
      </w:pPr>
      <w:r>
        <w:t xml:space="preserve">Low leverage (~Rs 94 Cr debt); 30% dividend for FY26; AGM resolutions passed with 99.9% support</w:t>
      </w:r>
    </w:p>
    <w:p>
      <w:pPr>
        <w:pStyle w:val="ListParagraph"/>
        <w:numPr>
          <w:ilvl w:val="0"/>
          <w:numId w:val="1"/>
        </w:numPr>
        <w:spacing w:after="60"/>
      </w:pPr>
      <w:r>
        <w:t xml:space="preserve">Top-2 customers ~55% of sales; a major contract was lost in FY23 on product-registration issues - the key structural risk</w:t>
      </w:r>
    </w:p>
    <w:p>
      <w:pPr>
        <w:pStyle w:val="ListParagraph"/>
        <w:numPr>
          <w:ilvl w:val="0"/>
          <w:numId w:val="1"/>
        </w:numPr>
        <w:spacing w:after="60"/>
      </w:pPr>
      <w:r>
        <w:t xml:space="preserve">~25-product R&amp;D pipeline with R&amp;D spend guided to double over two years - building the next leg</w:t>
      </w:r>
    </w:p>
    <w:p>
      <w:pPr>
        <w:pStyle w:val="ListParagraph"/>
        <w:numPr>
          <w:ilvl w:val="0"/>
          <w:numId w:val="1"/>
        </w:numPr>
        <w:spacing w:after="60"/>
      </w:pPr>
      <w:r>
        <w:t xml:space="preserve">Management's Rs 1,500 Cr revenue target has slipped from FY24 to FY25 to unspecified - a credibility mark against</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FY23-FY25: EPS declined in most quarters on Chinese oversupply / customer destocking</w:t>
      </w:r>
    </w:p>
    <w:p>
      <w:pPr>
        <w:pStyle w:val="ListParagraph"/>
        <w:numPr>
          <w:ilvl w:val="0"/>
          <w:numId w:val="1"/>
        </w:numPr>
        <w:spacing w:after="60"/>
      </w:pPr>
      <w:r>
        <w:t xml:space="preserve">FY26: first clean recovery year - revenue ~Rs 1,030 Cr (+~15%), PAT Rs 64 Cr</w:t>
      </w:r>
    </w:p>
    <w:p>
      <w:pPr>
        <w:pStyle w:val="ListParagraph"/>
        <w:numPr>
          <w:ilvl w:val="0"/>
          <w:numId w:val="1"/>
        </w:numPr>
        <w:spacing w:after="60"/>
      </w:pPr>
      <w:r>
        <w:t xml:space="preserve">Q1FY27: revenue Rs 347.2 Cr (+8.7% YoY), EBITDA Rs 40.8 Cr (+18.8%, margin ~11.75%), PAT Rs 22.1 Cr (+7% YoY)</w:t>
      </w:r>
    </w:p>
    <w:p>
      <w:pPr>
        <w:pStyle w:val="ListParagraph"/>
        <w:numPr>
          <w:ilvl w:val="0"/>
          <w:numId w:val="1"/>
        </w:numPr>
        <w:spacing w:after="60"/>
      </w:pPr>
      <w:r>
        <w:t xml:space="preserve">Q1FY27 mix: exports Rs 157 Cr (+27% YoY) drove all the growth; domestic Rs 190 Cr roughly flat. Growth decelerated vs FY26's ~15%</w:t>
      </w:r>
    </w:p>
    <w:p>
      <w:pPr>
        <w:spacing w:after="120"/>
      </w:pPr>
      <w:r>
        <w:rPr>
          <w:b/>
          <w:bCs/>
          <w:sz w:val="20"/>
          <w:szCs w:val="20"/>
        </w:rPr>
        <w:t xml:space="preserve">Exchange announcements (last 6 months):</w:t>
      </w:r>
    </w:p>
    <w:p>
      <w:pPr>
        <w:pStyle w:val="ListParagraph"/>
        <w:numPr>
          <w:ilvl w:val="0"/>
          <w:numId w:val="1"/>
        </w:numPr>
        <w:spacing w:after="60"/>
      </w:pPr>
      <w:r>
        <w:t xml:space="preserve">Q1FY27 result (31-Jul-2026): PAT +7% YoY, margin expansion on exports</w:t>
      </w:r>
    </w:p>
    <w:p>
      <w:pPr>
        <w:pStyle w:val="ListParagraph"/>
        <w:numPr>
          <w:ilvl w:val="0"/>
          <w:numId w:val="1"/>
        </w:numPr>
        <w:spacing w:after="60"/>
      </w:pPr>
      <w:r>
        <w:t xml:space="preserve">~Rs 100 Cr capex for two new multi-purpose manufacturing blocks + debottlenecking</w:t>
      </w:r>
    </w:p>
    <w:p>
      <w:pPr>
        <w:pStyle w:val="ListParagraph"/>
        <w:numPr>
          <w:ilvl w:val="0"/>
          <w:numId w:val="1"/>
        </w:numPr>
        <w:spacing w:after="60"/>
      </w:pPr>
      <w:r>
        <w:t xml:space="preserve">2 of 3 MOU products supplied commercial test lots; volume pick-up guided from Q4FY27; new products targeted at 15-18% of FY27 revenue</w:t>
      </w:r>
    </w:p>
    <w:p>
      <w:pPr>
        <w:pStyle w:val="ListParagraph"/>
        <w:numPr>
          <w:ilvl w:val="0"/>
          <w:numId w:val="1"/>
        </w:numPr>
        <w:spacing w:after="60"/>
      </w:pPr>
      <w:r>
        <w:t xml:space="preserve">FY27 guidance: 15-20% revenue growth, H2-weighted; R&amp;D spend to double over two years</w:t>
      </w:r>
    </w:p>
    <w:p>
      <w:pPr>
        <w:pStyle w:val="ListParagraph"/>
        <w:numPr>
          <w:ilvl w:val="0"/>
          <w:numId w:val="1"/>
        </w:numPr>
        <w:spacing w:after="60"/>
      </w:pPr>
      <w:r>
        <w:t xml:space="preserve">FY26 30% dividend; AGM resolutions approved 99.9%</w:t>
      </w:r>
    </w:p>
    <w:p>
      <w:pPr>
        <w:pStyle w:val="ListParagraph"/>
        <w:numPr>
          <w:ilvl w:val="0"/>
          <w:numId w:val="1"/>
        </w:numPr>
        <w:spacing w:after="60"/>
      </w:pPr>
      <w:r>
        <w:t xml:space="preserve">No regulatory-adverse disclosures this pass</w:t>
      </w:r>
    </w:p>
    <w:p>
      <w:pPr>
        <w:spacing w:after="120"/>
      </w:pPr>
      <w:r>
        <w:rPr>
          <w:b/>
          <w:bCs/>
          <w:sz w:val="20"/>
          <w:szCs w:val="20"/>
        </w:rPr>
        <w:t xml:space="preserve">Key new facts vs. the prior write-up:</w:t>
      </w:r>
    </w:p>
    <w:p>
      <w:pPr>
        <w:pStyle w:val="ListParagraph"/>
        <w:numPr>
          <w:ilvl w:val="0"/>
          <w:numId w:val="1"/>
        </w:numPr>
        <w:spacing w:after="60"/>
      </w:pPr>
      <w:r>
        <w:t xml:space="preserve">Recovery is confirmed but modest and decelerating - Q1FY27 revenue +8.7% / PAT +7% vs FY26's ~15% revenue growth</w:t>
      </w:r>
    </w:p>
    <w:p>
      <w:pPr>
        <w:pStyle w:val="ListParagraph"/>
        <w:numPr>
          <w:ilvl w:val="0"/>
          <w:numId w:val="1"/>
        </w:numPr>
        <w:spacing w:after="60"/>
      </w:pPr>
      <w:r>
        <w:t xml:space="preserve">All Q1FY27 growth was export-led; domestic demand still flat</w:t>
      </w:r>
    </w:p>
    <w:p>
      <w:pPr>
        <w:pStyle w:val="ListParagraph"/>
        <w:numPr>
          <w:ilvl w:val="0"/>
          <w:numId w:val="1"/>
        </w:numPr>
        <w:spacing w:after="60"/>
      </w:pPr>
      <w:r>
        <w:t xml:space="preserve">MOU catalyst is progressing (2 of 3 supplying commercial lots) but is small (~15-18% of FY27 revenue) and back-end-loaded to Q4FY27</w:t>
      </w:r>
    </w:p>
    <w:p>
      <w:pPr>
        <w:pStyle w:val="ListParagraph"/>
        <w:numPr>
          <w:ilvl w:val="0"/>
          <w:numId w:val="1"/>
        </w:numPr>
        <w:spacing w:after="60"/>
      </w:pPr>
      <w:r>
        <w:t xml:space="preserve">Valuation is reasonable - ~15x annualised Q1FY27 earnings, ~21x trailing FY26, for a ~31% ROCE business</w:t>
      </w:r>
    </w:p>
    <w:p>
      <w:pPr>
        <w:pStyle w:val="ListParagraph"/>
        <w:numPr>
          <w:ilvl w:val="0"/>
          <w:numId w:val="1"/>
        </w:numPr>
        <w:spacing w:after="60"/>
      </w:pPr>
      <w:r>
        <w:t xml:space="preserve">Gross margin expanded 350bps YoY to 36.6% - differentiation intact</w:t>
      </w:r>
    </w:p>
    <w:p>
      <w:pPr>
        <w:spacing w:after="120"/>
      </w:pPr>
      <w:r>
        <w:rPr>
          <w:b/>
          <w:bCs/>
          <w:sz w:val="20"/>
          <w:szCs w:val="20"/>
        </w:rPr>
        <w:t xml:space="preserve">Open questions / what to watch:</w:t>
      </w:r>
    </w:p>
    <w:p>
      <w:pPr>
        <w:pStyle w:val="ListParagraph"/>
        <w:numPr>
          <w:ilvl w:val="0"/>
          <w:numId w:val="1"/>
        </w:numPr>
        <w:spacing w:after="60"/>
      </w:pPr>
      <w:r>
        <w:t xml:space="preserve">Does H2FY27 deliver the guided 15-20% growth, or does the Rs 1,500 Cr target slip again?</w:t>
      </w:r>
    </w:p>
    <w:p>
      <w:pPr>
        <w:pStyle w:val="ListParagraph"/>
        <w:numPr>
          <w:ilvl w:val="0"/>
          <w:numId w:val="1"/>
        </w:numPr>
        <w:spacing w:after="60"/>
      </w:pPr>
      <w:r>
        <w:t xml:space="preserve">Do the MOU/new-product volumes actually ramp from Q4FY27, and reach the 15-18%-of-revenue target?</w:t>
      </w:r>
    </w:p>
    <w:p>
      <w:pPr>
        <w:pStyle w:val="ListParagraph"/>
        <w:numPr>
          <w:ilvl w:val="0"/>
          <w:numId w:val="1"/>
        </w:numPr>
        <w:spacing w:after="60"/>
      </w:pPr>
      <w:r>
        <w:t xml:space="preserve">When does domestic demand turn, or is the recovery structurally export-only for now?</w:t>
      </w:r>
    </w:p>
    <w:p>
      <w:pPr>
        <w:pStyle w:val="ListParagraph"/>
        <w:numPr>
          <w:ilvl w:val="0"/>
          <w:numId w:val="1"/>
        </w:numPr>
        <w:spacing w:after="60"/>
      </w:pPr>
      <w:r>
        <w:t xml:space="preserve">Any progress recovering or replacing the FY23-lost contract; is customer concentration falling?</w:t>
      </w:r>
    </w:p>
    <w:p>
      <w:pPr>
        <w:spacing w:after="120" w:before="120"/>
      </w:pPr>
      <w:r>
        <w:rPr>
          <w:b/>
          <w:bCs/>
          <w:sz w:val="20"/>
          <w:szCs w:val="20"/>
        </w:rPr>
        <w:t xml:space="preserve">Conviction impact: </w:t>
      </w:r>
      <w:r>
        <w:rPr>
          <w:sz w:val="20"/>
          <w:szCs w:val="20"/>
        </w:rPr>
        <w:t xml:space="preserve">Medium -&gt; Medium. The deep read upgrades the situation from 'wait for a clean recovery quarter' to 'recovery confirmed' (FY26 + Q1FY27), but the recovery is modest (Q1FY27 revenue +8.7%, PAT +7%), export-only, and the new-product catalyst is small and back-end-loaded to Q4FY27 with a guidance-slippage history. Reasonable valuation (~15x forward) and ~31% through-cycle ROCE support Medium; nothing yet supports raising it.</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revenue growth of 15-20%, H2-weighted</w:t>
            </w:r>
          </w:p>
        </w:tc>
        <w:tc>
          <w:tcPr>
            <w:tcW w:type="dxa" w:w="2400"/>
          </w:tcPr>
          <w:p>
            <w:r>
              <w:rPr>
                <w:b w:val="false"/>
                <w:bCs w:val="false"/>
                <w:sz w:val="18"/>
                <w:szCs w:val="18"/>
              </w:rPr>
              <w:t xml:space="preserve">from Rs 1,030 Cr FY26 base; stronger H2 as new products/capacity ramp</w:t>
            </w:r>
          </w:p>
        </w:tc>
        <w:tc>
          <w:tcPr>
            <w:tcW w:type="dxa" w:w="900"/>
          </w:tcPr>
          <w:p>
            <w:r>
              <w:rPr>
                <w:b w:val="false"/>
                <w:bCs w:val="false"/>
                <w:sz w:val="18"/>
                <w:szCs w:val="18"/>
              </w:rPr>
              <w:t xml:space="preserve">FY27</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Commercialise 3 exclusive MOU products; ~15-18% of FY27 revenue from new products</w:t>
            </w:r>
          </w:p>
        </w:tc>
        <w:tc>
          <w:tcPr>
            <w:tcW w:type="dxa" w:w="2400"/>
          </w:tcPr>
          <w:p>
            <w:r>
              <w:rPr>
                <w:b w:val="false"/>
                <w:bCs w:val="false"/>
                <w:sz w:val="18"/>
                <w:szCs w:val="18"/>
              </w:rPr>
              <w:t xml:space="preserve">2 of 3 have supplied commercial test lots; volume pick-up from Q4FY27</w:t>
            </w:r>
          </w:p>
        </w:tc>
        <w:tc>
          <w:tcPr>
            <w:tcW w:type="dxa" w:w="900"/>
          </w:tcPr>
          <w:p>
            <w:r>
              <w:rPr>
                <w:b w:val="false"/>
                <w:bCs w:val="false"/>
                <w:sz w:val="18"/>
                <w:szCs w:val="18"/>
              </w:rPr>
              <w:t xml:space="preserve">FY27</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capex</w:t>
            </w:r>
          </w:p>
        </w:tc>
        <w:tc>
          <w:tcPr>
            <w:tcW w:type="dxa" w:w="2600"/>
          </w:tcPr>
          <w:p>
            <w:r>
              <w:rPr>
                <w:b w:val="false"/>
                <w:bCs w:val="false"/>
                <w:sz w:val="18"/>
                <w:szCs w:val="18"/>
              </w:rPr>
              <w:t xml:space="preserve">~Rs 100 Cr for two multi-purpose blocks + debottlenecking</w:t>
            </w:r>
          </w:p>
        </w:tc>
        <w:tc>
          <w:tcPr>
            <w:tcW w:type="dxa" w:w="2400"/>
          </w:tcPr>
          <w:p>
            <w:r>
              <w:rPr>
                <w:b w:val="false"/>
                <w:bCs w:val="false"/>
                <w:sz w:val="18"/>
                <w:szCs w:val="18"/>
              </w:rPr>
              <w:t xml:space="preserve">Rs 120-150 Cr incremental revenue potential over 2-3 years; commercialisation targeted around FY27Q3</w:t>
            </w:r>
          </w:p>
        </w:tc>
        <w:tc>
          <w:tcPr>
            <w:tcW w:type="dxa" w:w="900"/>
          </w:tcPr>
          <w:p>
            <w:r>
              <w:rPr>
                <w:b w:val="false"/>
                <w:bCs w:val="false"/>
                <w:sz w:val="18"/>
                <w:szCs w:val="18"/>
              </w:rPr>
              <w:t xml:space="preserve">FY27</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agrochem destocking ends / China+1 CRAMS demand</w:t>
      </w:r>
      <w:r>
        <w:rPr>
          <w:color w:val="666666"/>
          <w:sz w:val="20"/>
          <w:szCs w:val="20"/>
        </w:rPr>
        <w:t xml:space="preserve"> → </w:t>
      </w:r>
      <w:r>
        <w:rPr>
          <w:b w:val="false"/>
          <w:bCs w:val="false"/>
          <w:sz w:val="20"/>
          <w:szCs w:val="20"/>
        </w:rPr>
        <w:t xml:space="preserve">export order recovery</w:t>
      </w:r>
      <w:r>
        <w:rPr>
          <w:color w:val="666666"/>
          <w:sz w:val="20"/>
          <w:szCs w:val="20"/>
        </w:rPr>
        <w:t xml:space="preserve"> → </w:t>
      </w:r>
      <w:r>
        <w:rPr>
          <w:b w:val="false"/>
          <w:bCs w:val="false"/>
          <w:sz w:val="20"/>
          <w:szCs w:val="20"/>
        </w:rPr>
        <w:t xml:space="preserve">new MOU products commercialise (Q4FY27)</w:t>
      </w:r>
      <w:r>
        <w:rPr>
          <w:color w:val="666666"/>
          <w:sz w:val="20"/>
          <w:szCs w:val="20"/>
        </w:rPr>
        <w:t xml:space="preserve"> → </w:t>
      </w:r>
      <w:r>
        <w:rPr>
          <w:b w:val="false"/>
          <w:bCs w:val="false"/>
          <w:sz w:val="20"/>
          <w:szCs w:val="20"/>
        </w:rPr>
        <w:t xml:space="preserve">new multi-purpose block volumes</w:t>
      </w:r>
      <w:r>
        <w:rPr>
          <w:color w:val="666666"/>
          <w:sz w:val="20"/>
          <w:szCs w:val="20"/>
        </w:rPr>
        <w:t xml:space="preserve"> → </w:t>
      </w:r>
      <w:r>
        <w:rPr>
          <w:b w:val="false"/>
          <w:bCs w:val="false"/>
          <w:sz w:val="20"/>
          <w:szCs w:val="20"/>
        </w:rPr>
        <w:t xml:space="preserve">revenue growth 15-20%</w:t>
      </w:r>
      <w:r>
        <w:rPr>
          <w:color w:val="666666"/>
          <w:sz w:val="20"/>
          <w:szCs w:val="20"/>
        </w:rPr>
        <w:t xml:space="preserve"> → </w:t>
      </w:r>
      <w:r>
        <w:rPr>
          <w:b w:val="false"/>
          <w:bCs w:val="false"/>
          <w:sz w:val="20"/>
          <w:szCs w:val="20"/>
        </w:rPr>
        <w:t xml:space="preserve">operating leverage + mix</w:t>
      </w:r>
      <w:r>
        <w:rPr>
          <w:color w:val="666666"/>
          <w:sz w:val="20"/>
          <w:szCs w:val="20"/>
        </w:rPr>
        <w:t xml:space="preserve"> → </w:t>
      </w:r>
      <w:r>
        <w:rPr>
          <w:b w:val="false"/>
          <w:bCs w:val="false"/>
          <w:sz w:val="20"/>
          <w:szCs w:val="20"/>
        </w:rPr>
        <w:t xml:space="preserve">EBITDA margin expansion</w:t>
      </w:r>
      <w:r>
        <w:rPr>
          <w:color w:val="666666"/>
          <w:sz w:val="20"/>
          <w:szCs w:val="20"/>
        </w:rPr>
        <w:t xml:space="preserve"> → </w:t>
      </w:r>
      <w:r>
        <w:rPr>
          <w:b w:val="false"/>
          <w:bCs w:val="false"/>
          <w:sz w:val="20"/>
          <w:szCs w:val="20"/>
        </w:rPr>
        <w:t xml:space="preserve">PAT / FCF</w:t>
      </w:r>
    </w:p>
    <w:p>
      <w:pPr>
        <w:spacing w:after="120"/>
      </w:pPr>
      <w:r>
        <w:rPr>
          <w:color w:val="666666"/>
          <w:sz w:val="18"/>
          <w:szCs w:val="18"/>
        </w:rPr>
        <w:t xml:space="preserve">Bottleneck link: new MOU products commercialise (Q4FY27) / domestic demand turning.</w:t>
      </w:r>
    </w:p>
    <w:p>
      <w:pPr>
        <w:spacing w:after="120"/>
      </w:pPr>
      <w:r>
        <w:rPr>
          <w:color w:val="666666"/>
          <w:sz w:val="18"/>
          <w:szCs w:val="18"/>
        </w:rPr>
        <w:t xml:space="preserve">Operating leverage: yes - Q1FY27 EBITDA +18.8% and gross margin +350bps on revenue +8.7% shows leverage and mix working</w:t>
      </w:r>
    </w:p>
    <w:p>
      <w:pPr>
        <w:spacing w:after="120"/>
      </w:pPr>
      <w:r>
        <w:rPr>
          <w:color w:val="666666"/>
          <w:sz w:val="18"/>
          <w:szCs w:val="18"/>
        </w:rPr>
        <w:t xml:space="preserve">Evidenced: agrochem destocking ends / China+1 CRAMS demand; export order recovery; operating leverage + mix; EBITDA margin expansion. Still assumed: new MOU products commercialise (Q4FY27); new multi-purpose block volumes; revenue growth 15-20%.</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2026-09-08</w:t>
            </w:r>
          </w:p>
        </w:tc>
      </w:tr>
      <w:tr>
        <w:tc>
          <w:tcPr>
            <w:tcW w:type="dxa" w:w="3200"/>
            <w:shd w:fill="F2F2F2" w:val="clear"/>
          </w:tcPr>
          <w:p>
            <w:r>
              <w:rPr>
                <w:b/>
                <w:bCs/>
              </w:rPr>
              <w:t xml:space="preserve">Price / multiple</w:t>
            </w:r>
          </w:p>
        </w:tc>
        <w:tc>
          <w:tcPr>
            <w:tcW w:type="dxa" w:w="5800"/>
          </w:tcPr>
          <w:p>
            <w:r>
              <w:t xml:space="preserve">21x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~21x trailing / ~15x on annualised Q1FY27 implies the market expects only ~12-15% EPS CAGR FY26-28 against an ~18-20x mid-cycle exit - i.e. the recovery and the MOU catalyst are NOT fully priced</w:t>
            </w:r>
          </w:p>
        </w:tc>
      </w:tr>
      <w:tr>
        <w:tc>
          <w:tcPr>
            <w:tcW w:type="dxa" w:w="3200"/>
            <w:shd w:fill="F2F2F2" w:val="clear"/>
          </w:tcPr>
          <w:p>
            <w:r>
              <w:rPr>
                <w:b/>
                <w:bCs/>
              </w:rPr>
              <w:t xml:space="preserve">Our FY27</w:t>
            </w:r>
          </w:p>
        </w:tc>
        <w:tc>
          <w:tcPr>
            <w:tcW w:type="dxa" w:w="5800"/>
          </w:tcPr>
          <w:p>
            <w:r>
              <w:t xml:space="preserve">revenue ~Rs 1,180-1,240 Cr (+15-20%), EBITDA margin ~12-13%, PAT ~Rs 78-90 Cr</w:t>
            </w:r>
          </w:p>
        </w:tc>
      </w:tr>
      <w:tr>
        <w:tc>
          <w:tcPr>
            <w:tcW w:type="dxa" w:w="3200"/>
            <w:shd w:fill="F2F2F2" w:val="clear"/>
          </w:tcPr>
          <w:p>
            <w:r>
              <w:rPr>
                <w:b/>
                <w:bCs/>
              </w:rPr>
              <w:t xml:space="preserve">Our FY28</w:t>
            </w:r>
          </w:p>
        </w:tc>
        <w:tc>
          <w:tcPr>
            <w:tcW w:type="dxa" w:w="5800"/>
          </w:tcPr>
          <w:p>
            <w:r>
              <w:t xml:space="preserve">revenue ~Rs 1,400-1,550 Cr as MOU products + new blocks ramp; PAT ~Rs 100-125 Cr if margins hold</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new_business</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at ~15x forward the base recovery is only partly in the price; the MOU/new-product volume from Q4FY27 is upside the market is discounting given the guidance-slippage history</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Q3-Q4 FY27 prints showing 15%+ revenue growth with MOU/new-product volumes actually landing and domestic demand turning</w:t>
      </w:r>
      <w:r>
        <w:rPr>
          <w:color w:val="666666"/>
          <w:sz w:val="18"/>
          <w:szCs w:val="18"/>
        </w:rPr>
        <w:t xml:space="preserve"> (window ~9M from 2026-09-08; 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agrochemical CRAMS / custom synthesis + specialty chemicals (China+1)</w:t>
            </w:r>
          </w:p>
        </w:tc>
      </w:tr>
      <w:tr>
        <w:tc>
          <w:tcPr>
            <w:tcW w:type="dxa" w:w="3200"/>
            <w:shd w:fill="F2F2F2" w:val="clear"/>
          </w:tcPr>
          <w:p>
            <w:r>
              <w:rPr>
                <w:b/>
                <w:bCs/>
              </w:rPr>
              <w:t xml:space="preserve">This company's position</w:t>
            </w:r>
          </w:p>
        </w:tc>
        <w:tc>
          <w:tcPr>
            <w:tcW w:type="dxa" w:w="5800"/>
          </w:tcPr>
          <w:p>
            <w:r>
              <w:t xml:space="preserve">contract manufacturer of agrochemical active ingredients and intermediates for global innovators (UPL largest customer); also food-grade phosphoric acid to beverage majors</w:t>
            </w:r>
          </w:p>
        </w:tc>
      </w:tr>
      <w:tr>
        <w:tc>
          <w:tcPr>
            <w:tcW w:type="dxa" w:w="3200"/>
            <w:shd w:fill="F2F2F2" w:val="clear"/>
          </w:tcPr>
          <w:p>
            <w:r>
              <w:rPr>
                <w:b/>
                <w:bCs/>
              </w:rPr>
              <w:t xml:space="preserve">Bottleneck node (pricing power)</w:t>
            </w:r>
          </w:p>
        </w:tc>
        <w:tc>
          <w:tcPr>
            <w:tcW w:type="dxa" w:w="5800"/>
          </w:tcPr>
          <w:p>
            <w:r>
              <w:t xml:space="preserve">molecule-specific process know-how + customer qualification / exclusivity</w:t>
            </w:r>
          </w:p>
        </w:tc>
      </w:tr>
      <w:tr>
        <w:tc>
          <w:tcPr>
            <w:tcW w:type="dxa" w:w="3200"/>
            <w:shd w:fill="F2F2F2" w:val="clear"/>
          </w:tcPr>
          <w:p>
            <w:r>
              <w:rPr>
                <w:b/>
                <w:bCs/>
              </w:rPr>
              <w:t xml:space="preserve">Supply-side status</w:t>
            </w:r>
          </w:p>
        </w:tc>
        <w:tc>
          <w:tcPr>
            <w:tcW w:type="dxa" w:w="5800"/>
          </w:tcPr>
          <w:p>
            <w:r>
              <w:t xml:space="preserve">consolidating</w:t>
            </w:r>
          </w:p>
        </w:tc>
      </w:tr>
      <w:tr>
        <w:tc>
          <w:tcPr>
            <w:tcW w:type="dxa" w:w="3200"/>
            <w:shd w:fill="F2F2F2" w:val="clear"/>
          </w:tcPr>
          <w:p>
            <w:r>
              <w:rPr>
                <w:b/>
                <w:bCs/>
              </w:rPr>
              <w:t xml:space="preserve">Adjacent-node peers</w:t>
            </w:r>
          </w:p>
        </w:tc>
        <w:tc>
          <w:tcPr>
            <w:tcW w:type="dxa" w:w="5800"/>
          </w:tcPr>
          <w:p>
            <w:r>
              <w:t xml:space="preserve">Astec LifeSciences, Sharda Cropchem, Rallis India, NACL Industries, Bharat Rasayan</w:t>
            </w:r>
          </w:p>
        </w:tc>
      </w:tr>
    </w:tbl>
    <w:p>
      <w:pPr>
        <w:spacing w:after="120"/>
      </w:pPr>
      <w:r>
        <w:rPr>
          <w:color w:val="666666"/>
          <w:sz w:val="18"/>
          <w:szCs w:val="18"/>
        </w:rPr>
        <w:t xml:space="preserve">Post-downcycle, Chinese agrochem oversupply is easing and innovators are diversifying supply toward qualified Indian CRAMS players. Punjab's through-cycle ~31% ROCE and margin resilience vs peers point to genuine molecule-level stickiness, but top-2 ~55% customer concentration keeps the moat rating weak.</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w:r>
    </w:p>
    <w:p>
      <w:pPr>
        <w:spacing w:after="120"/>
      </w:pPr>
      <w:r>
        <w:rPr>
          <w:color w:val="666666"/>
          <w:sz w:val="18"/>
          <w:szCs w:val="18"/>
        </w:rPr>
        <w:t xml:space="preserve">Drivers: export-order recovery + mix; gross-margin resilience/differentiation in the molecule basket; operating leverage on utilisation; agrochem price/volume cycle.</w:t>
      </w:r>
    </w:p>
    <w:p>
      <w:pPr>
        <w:spacing w:after="120"/>
      </w:pPr>
      <w:r>
        <w:rPr>
          <w:color w:val="666666"/>
          <w:sz w:val="18"/>
          <w:szCs w:val="18"/>
        </w:rPr>
        <w:t xml:space="preserve">Q1FY27 EBITDA margin ~11.75% is still below the company's pre-downcycle mid-teens level - this is a recovering, not a peaked, margin. Gross margin 36.6% is at the higher end but reflects mix; through-cycle EBITDA margin ~12-15%.</w:t>
      </w:r>
    </w:p>
    <w:p>
      <w:pPr>
        <w:spacing w:after="60" w:before="120"/>
      </w:pPr>
      <w:r>
        <w:rPr>
          <w:b/>
          <w:bCs/>
          <w:sz w:val="20"/>
          <w:szCs w:val="20"/>
        </w:rPr>
        <w:t xml:space="preserve">Growth trajectory: </w:t>
      </w:r>
      <w:r>
        <w:rPr>
          <w:b w:val="false"/>
          <w:bCs w:val="false"/>
          <w:sz w:val="20"/>
          <w:szCs w:val="20"/>
        </w:rPr>
        <w:t xml:space="preserve">YoY growth rate is lumpy</w:t>
      </w:r>
    </w:p>
    <w:p>
      <w:pPr>
        <w:spacing w:after="120"/>
      </w:pPr>
      <w:r>
        <w:rPr>
          <w:color w:val="666666"/>
          <w:sz w:val="18"/>
          <w:szCs w:val="18"/>
        </w:rPr>
        <w:t xml:space="preserve">Revenue YoY (approx, oldest-&gt;newest): FY23-FY25 mostly negative (downcycle), FY26 ~+15%, Q1FY27 +8.7%. PAT YoY: multi-year declines, then FY26 recovery, Q1FY27 +7%. Recovery is real but decelerated in Q1FY27 and is export-driven; order/CRAMS business so treat as lumpy.</w:t>
      </w:r>
    </w:p>
    <w:p>
      <w:pPr>
        <w:spacing w:after="120"/>
      </w:pPr>
      <w:r>
        <w:rPr>
          <w:color w:val="666666"/>
          <w:sz w:val="18"/>
          <w:szCs w:val="18"/>
        </w:rPr>
        <w:t xml:space="preserve">Reverse P/E: ~15x forward needs only ~12-15% EPS CAGR to FY28; the guided 15-20% revenue growth plus the MOU catalyst would beat that, so the multiple leaves room if execution lands - the risk is the repeated guidance slippage.</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Reinvesting at ~31% ROCE; ~Rs 100 Cr capex for multi-purpose blocks funded internally with low debt (~Rs 94 Cr); R&amp;D spend guided to double; 30% dividend. No unrelated diversification. Held capital discipline through the downcycle rather than chasing volume. (disciplined)</w:t>
            </w:r>
          </w:p>
        </w:tc>
      </w:tr>
      <w:tr>
        <w:tc>
          <w:tcPr>
            <w:tcW w:type="dxa" w:w="3200"/>
            <w:shd w:fill="F2F2F2" w:val="clear"/>
          </w:tcPr>
          <w:p>
            <w:r>
              <w:rPr>
                <w:b/>
                <w:bCs/>
              </w:rPr>
              <w:t xml:space="preserve">Related-party trend</w:t>
            </w:r>
          </w:p>
        </w:tc>
        <w:tc>
          <w:tcPr>
            <w:tcW w:type="dxa" w:w="5800"/>
          </w:tcPr>
          <w:p>
            <w:r>
              <w:t xml:space="preserve">flat</w:t>
            </w:r>
          </w:p>
        </w:tc>
      </w:tr>
      <w:tr>
        <w:tc>
          <w:tcPr>
            <w:tcW w:type="dxa" w:w="3200"/>
            <w:shd w:fill="F2F2F2" w:val="clear"/>
          </w:tcPr>
          <w:p>
            <w:r>
              <w:rPr>
                <w:b/>
                <w:bCs/>
              </w:rPr>
              <w:t xml:space="preserve">Guidance credibility</w:t>
            </w:r>
          </w:p>
        </w:tc>
        <w:tc>
          <w:tcPr>
            <w:tcW w:type="dxa" w:w="5800"/>
          </w:tcPr>
          <w:p>
            <w:r>
              <w:t xml:space="preserve">over-promises</w:t>
            </w:r>
          </w:p>
        </w:tc>
      </w:tr>
      <w:tr>
        <w:tc>
          <w:tcPr>
            <w:tcW w:type="dxa" w:w="3200"/>
            <w:shd w:fill="F2F2F2" w:val="clear"/>
          </w:tcPr>
          <w:p>
            <w:r>
              <w:rPr>
                <w:b/>
                <w:bCs/>
              </w:rPr>
              <w:t xml:space="preserve">Shareholder returns</w:t>
            </w:r>
          </w:p>
        </w:tc>
        <w:tc>
          <w:tcPr>
            <w:tcW w:type="dxa" w:w="5800"/>
          </w:tcPr>
          <w:p>
            <w:r>
              <w:t xml:space="preserve">consistent</w:t>
            </w:r>
          </w:p>
        </w:tc>
      </w:tr>
      <w:tr>
        <w:tc>
          <w:tcPr>
            <w:tcW w:type="dxa" w:w="3200"/>
            <w:shd w:fill="F2F2F2" w:val="clear"/>
          </w:tcPr>
          <w:p>
            <w:r>
              <w:rPr>
                <w:b/>
                <w:bCs/>
              </w:rPr>
              <w:t xml:space="preserve">Capability ladder / VAP</w:t>
            </w:r>
          </w:p>
        </w:tc>
        <w:tc>
          <w:tcPr>
            <w:tcW w:type="dxa" w:w="5800"/>
          </w:tcPr>
          <w:p>
            <w:r>
              <w:t xml:space="preserve">Building a ~25-product pipeline and moving from a handful of large-customer molecules toward exclusive-MOU custom synthesis for multiple international innovators</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31% (stable)</w:t>
            </w:r>
          </w:p>
        </w:tc>
      </w:tr>
      <w:tr>
        <w:tc>
          <w:tcPr>
            <w:tcW w:type="dxa" w:w="3200"/>
            <w:shd w:fill="F2F2F2" w:val="clear"/>
          </w:tcPr>
          <w:p>
            <w:r>
              <w:rPr>
                <w:b/>
                <w:bCs/>
              </w:rPr>
              <w:t xml:space="preserve">Leverage</w:t>
            </w:r>
          </w:p>
        </w:tc>
        <w:tc>
          <w:tcPr>
            <w:tcW w:type="dxa" w:w="5800"/>
          </w:tcPr>
          <w:p>
            <w:r>
              <w:t xml:space="preserve">Net debt/EBITDA 0.5x</w:t>
            </w:r>
          </w:p>
        </w:tc>
      </w:tr>
      <w:tr>
        <w:tc>
          <w:tcPr>
            <w:tcW w:type="dxa" w:w="3200"/>
            <w:shd w:fill="F2F2F2" w:val="clear"/>
          </w:tcPr>
          <w:p>
            <w:r>
              <w:rPr>
                <w:b/>
                <w:bCs/>
              </w:rPr>
              <w:t xml:space="preserve">FCF conversion</w:t>
            </w:r>
          </w:p>
        </w:tc>
        <w:tc>
          <w:tcPr>
            <w:tcW w:type="dxa" w:w="5800"/>
          </w:tcPr>
          <w:p>
            <w:r>
              <w:t xml:space="preserve">45%</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2 of the last 5 years (consistency_score 40)</w:t>
      </w:r>
    </w:p>
    <w:p>
      <w:pPr>
        <w:spacing w:after="120"/>
      </w:pPr>
      <w:r>
        <w:rPr>
          <w:color w:val="666666"/>
          <w:sz w:val="18"/>
          <w:szCs w:val="18"/>
        </w:rPr>
        <w:t xml:space="preserve">FY22-FY26 verifiable from the same filings. FY22 and FY26 combined &gt;=10% revenue growth with ROCE &gt;=15% -&gt; pass. FY23-FY25 were the downcycle - revenue fell or was flat even though ROCE stayed ~25-31% -&gt; fail the revenue-growth leg. 2 of 5 years cleared both hurdles; ROCE consistency is the redeeming feature the pass/fail count misses.</w:t>
      </w:r>
    </w:p>
    <w:p>
      <w:pPr>
        <w:pStyle w:val="Heading1"/>
        <w:spacing w:after="120" w:before="280"/>
      </w:pPr>
      <w:r>
        <w:t xml:space="preserve">Technical Read (Weekly / Monthly MACD + Bollinger Bands, or RSI/CCI/Williams %R proxy)</w:t>
      </w:r>
    </w:p>
    <w:p>
      <w:pPr>
        <w:spacing w:after="120"/>
      </w:pPr>
      <w:r>
        <w:t xml:space="preserve">Not independently pulled this pass. Stock is well off its 52-week high (~Rs 1,665) after the downcycle de-rating.</w:t>
      </w:r>
    </w:p>
    <w:p>
      <w:pPr>
        <w:pStyle w:val="Heading1"/>
        <w:spacing w:after="120" w:before="280"/>
      </w:pPr>
      <w:r>
        <w:t xml:space="preserve">ValuePickr Community Signal</w:t>
      </w:r>
    </w:p>
    <w:p>
      <w:pPr>
        <w:spacing w:after="120"/>
      </w:pPr>
      <w:r>
        <w:t xml:space="preserve">Read most recent 50 of 87 posts (Aug 2022 to Jan 2026), covering the entire multi-year agrochem downcycle narrated in near-real-time. Thread has gone quiet since Jan 2026 (~8 months, no fresh posts). The FY26 result and Q1FY27 recovery post-date the posts read.</w:t>
      </w:r>
    </w:p>
    <w:p>
      <w:pPr>
        <w:spacing w:after="120"/>
      </w:pPr>
      <w:r>
        <w:rPr>
          <w:b/>
          <w:bCs/>
          <w:sz w:val="20"/>
          <w:szCs w:val="20"/>
        </w:rPr>
        <w:t xml:space="preserve">High-conviction call from a top contributor: </w:t>
      </w:r>
      <w:r>
        <w:rPr>
          <w:sz w:val="20"/>
          <w:szCs w:val="20"/>
        </w:rPr>
        <w:t xml:space="preserve">harsh.beria93 (trusted, elevated) is essentially the sole sustained tracker of this thread across 4+ years of detailed quarterly concall notes, consistently framing Punjab as more resilient than agrochem peers (Astec, Sharda, Rallis, NACL) through the downcycle, though no explicit 'invested' disclosure was captured in the batch read. Worldlywiseinvestors (trusted, 2023) flagged early that agrochem restocking risk mirrored what hit API names. Most recent post (#87, Jan 2026, FY26Q1 notes) reports 3 exclusive MOUs signed with international agrichemical customers and Rs 60 Cr capex for 2 new production blocks targeting Rs 120-150 Cr incremental revenue by FY27Q3 commercialization.</w:t>
      </w:r>
    </w:p>
    <w:p>
      <w:pPr>
        <w:pStyle w:val="Heading1"/>
        <w:spacing w:after="120" w:before="280"/>
      </w:pPr>
      <w:r>
        <w:t xml:space="preserve">BSE Corporate Actions / Other Red Flags</w:t>
      </w:r>
    </w:p>
    <w:p>
      <w:pPr>
        <w:spacing w:after="120"/>
      </w:pPr>
      <w:r>
        <w:t xml:space="preserve">Q1FY27 result (concall 31-Jul-2026): PAT Rs 22.1 Cr, EBITDA margin ~11.75%. FY26: 30% dividend, AGM resolutions passed with 99.9% support. Capex earmarked ~Rs 100 Cr for two multi-purpose blocks + debottlenecking. No governance red flag surfaced this pass.</w:t>
      </w:r>
    </w:p>
    <w:p>
      <w:pPr>
        <w:pStyle w:val="Heading1"/>
        <w:spacing w:after="120" w:before="280"/>
      </w:pPr>
      <w:r>
        <w:t xml:space="preserve">Bull Case</w:t>
      </w:r>
    </w:p>
    <w:p>
      <w:pPr>
        <w:pStyle w:val="ListParagraph"/>
        <w:numPr>
          <w:ilvl w:val="0"/>
          <w:numId w:val="1"/>
        </w:numPr>
        <w:spacing w:after="60"/>
      </w:pPr>
      <w:r>
        <w:t xml:space="preserve">ROCE ~31% / ROE ~24% maintained even through a brutal 3-year sector downcycle - genuine capital efficiency, not cyclical illusion</w:t>
      </w:r>
    </w:p>
    <w:p>
      <w:pPr>
        <w:pStyle w:val="ListParagraph"/>
        <w:numPr>
          <w:ilvl w:val="0"/>
          <w:numId w:val="1"/>
        </w:numPr>
        <w:spacing w:after="60"/>
      </w:pPr>
      <w:r>
        <w:t xml:space="preserve">Gross margins held up better than agrochem peers throughout Chinese-dumping destocking, and expanded another 350bps YoY in Q1FY27 to 36.6% - real product differentiation</w:t>
      </w:r>
    </w:p>
    <w:p>
      <w:pPr>
        <w:pStyle w:val="ListParagraph"/>
        <w:numPr>
          <w:ilvl w:val="0"/>
          <w:numId w:val="1"/>
        </w:numPr>
        <w:spacing w:after="60"/>
      </w:pPr>
      <w:r>
        <w:t xml:space="preserve">FY26 (+~15% revenue) and Q1FY27 (+8.7%, exports +27%) confirm the recovery is underway, with EBITDA +18.8% on margin expansion</w:t>
      </w:r>
    </w:p>
    <w:p>
      <w:pPr>
        <w:pStyle w:val="ListParagraph"/>
        <w:numPr>
          <w:ilvl w:val="0"/>
          <w:numId w:val="1"/>
        </w:numPr>
        <w:spacing w:after="60"/>
      </w:pPr>
      <w:r>
        <w:t xml:space="preserve">Specific new-product catalyst: 3 exclusive MOUs (2 supplying commercial test lots), targeted 15-18% of FY27 revenue, plus ~Rs 100 Cr capex adding Rs 120-150 Cr revenue potential</w:t>
      </w:r>
    </w:p>
    <w:p>
      <w:pPr>
        <w:pStyle w:val="ListParagraph"/>
        <w:numPr>
          <w:ilvl w:val="0"/>
          <w:numId w:val="1"/>
        </w:numPr>
        <w:spacing w:after="60"/>
      </w:pPr>
      <w:r>
        <w:t xml:space="preserve">Reasonable valuation (~15x forward), low debt (~Rs 94 Cr), 30% dividend</w:t>
      </w:r>
    </w:p>
    <w:p>
      <w:pPr>
        <w:pStyle w:val="Heading1"/>
        <w:spacing w:after="120" w:before="280"/>
      </w:pPr>
      <w:r>
        <w:t xml:space="preserve">Bear Case / Key Risks</w:t>
      </w:r>
    </w:p>
    <w:p>
      <w:pPr>
        <w:pStyle w:val="ListParagraph"/>
        <w:numPr>
          <w:ilvl w:val="0"/>
          <w:numId w:val="1"/>
        </w:numPr>
        <w:spacing w:after="60"/>
      </w:pPr>
      <w:r>
        <w:t xml:space="preserve">5yr trailing sales CAGR only ~8.7%; this is a cyclical recovery bet, not a proven structural grower, and Q1FY27 growth already decelerated to +8.7% (PAT +7%)</w:t>
      </w:r>
    </w:p>
    <w:p>
      <w:pPr>
        <w:pStyle w:val="ListParagraph"/>
        <w:numPr>
          <w:ilvl w:val="0"/>
          <w:numId w:val="1"/>
        </w:numPr>
        <w:spacing w:after="60"/>
      </w:pPr>
      <w:r>
        <w:t xml:space="preserve">Recovery is export-led with domestic flat; new-product volumes only from Q4FY27, so FY27 is H2-weighted and unproven</w:t>
      </w:r>
    </w:p>
    <w:p>
      <w:pPr>
        <w:pStyle w:val="ListParagraph"/>
        <w:numPr>
          <w:ilvl w:val="0"/>
          <w:numId w:val="1"/>
        </w:numPr>
        <w:spacing w:after="60"/>
      </w:pPr>
      <w:r>
        <w:t xml:space="preserve">Client concentration: top-2 customers ~55% of sales, with a major contract lost in FY23 on registration issues</w:t>
      </w:r>
    </w:p>
    <w:p>
      <w:pPr>
        <w:pStyle w:val="ListParagraph"/>
        <w:numPr>
          <w:ilvl w:val="0"/>
          <w:numId w:val="1"/>
        </w:numPr>
        <w:spacing w:after="60"/>
      </w:pPr>
      <w:r>
        <w:t xml:space="preserve">Management's Rs 1,500 Cr revenue target has slipped repeatedly (FY24 -&gt; FY25 -&gt; unspecified) - execution credibility is mixed</w:t>
      </w:r>
    </w:p>
    <w:p>
      <w:pPr>
        <w:pStyle w:val="ListParagraph"/>
        <w:numPr>
          <w:ilvl w:val="0"/>
          <w:numId w:val="1"/>
        </w:numPr>
        <w:spacing w:after="60"/>
      </w:pPr>
      <w:r>
        <w:t xml:space="preserve">VP thread quiet ~8 months; no fresh community validation of recovery durability</w:t>
      </w:r>
    </w:p>
    <w:p>
      <w:pPr>
        <w:pStyle w:val="Heading1"/>
        <w:spacing w:after="120" w:before="280"/>
      </w:pPr>
      <w:r>
        <w:t xml:space="preserve">Market-Cap Tier (informational — not a gate in this project)</w:t>
      </w:r>
    </w:p>
    <w:p>
      <w:pPr>
        <w:spacing w:after="120"/>
      </w:pPr>
      <w:r>
        <w:rPr>
          <w:b/>
          <w:bCs/>
        </w:rPr>
        <w:t xml:space="preserve">Small-cap (~Rs 1,358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weak · TAM: weak · moat: weak · valuation: yes  (score 2.5 / 4)</w:t>
      </w:r>
    </w:p>
    <w:p>
      <w:pPr>
        <w:spacing w:after="120"/>
      </w:pPr>
      <w:r>
        <w:rPr>
          <w:i/>
          <w:iCs/>
          <w:color w:val="666666"/>
          <w:sz w:val="20"/>
          <w:szCs w:val="20"/>
        </w:rPr>
        <w:t xml:space="preserve">tailwind weak - cyclical recovery from agrochem destocking plus a modest China+1 CRAMS shift. tam weak - a 10x from Rs 1,358 Cr needs ~Rs 5,000 Cr revenue vs Rs 1,030 Cr today. moat weak - ~31% through-cycle ROCE and peer-beating gross margins hint at molecule-level stickiness, but top-2 ~55% customer concentration offsets. valuation yes - ~15x annualised Q1FY27 / ~21x trailing for a 31%-ROCE business guiding 15-20% growth is not pricing the recovery or the MOU catalyst in. Score 2.5. thesis_fit 10x-in-2-3-years retained via the valuation-box=yes written exception; conviction capped at Medium with an 'unconfirmed' caveat.</w:t>
      </w:r>
    </w:p>
    <w:p>
      <w:pPr>
        <w:pStyle w:val="Heading1"/>
        <w:spacing w:after="120" w:before="280"/>
      </w:pPr>
      <w:r>
        <w:t xml:space="preserve">Verdict</w:t>
      </w:r>
    </w:p>
    <w:p>
      <w:pPr>
        <w:spacing w:after="120"/>
      </w:pPr>
      <w:r>
        <w:rPr>
          <w:b/>
          <w:bCs/>
          <w:sz w:val="24"/>
          <w:szCs w:val="24"/>
        </w:rPr>
        <w:t xml:space="preserve">A capital-efficiency survivor of the agrochem downcycle, recovery now confirmed but modest and back-end-loaded, at a reasonable ~15x forward - a Medium-conviction cyclical-recovery bet with an unconfirmed new-product catalyst</w:t>
      </w:r>
    </w:p>
    <w:p>
      <w:pPr>
        <w:pStyle w:val="ListParagraph"/>
        <w:numPr>
          <w:ilvl w:val="0"/>
          <w:numId w:val="1"/>
        </w:numPr>
        <w:spacing w:after="60"/>
      </w:pPr>
      <w:r>
        <w:t xml:space="preserve">The real signal is ~31% ROCE sustained through the cycle plus gross margins that held and then expanded 350bps in Q1FY27 - evidence of genuine molecule-level differentiation in a CRAMS basket, not the trailing growth average</w:t>
      </w:r>
    </w:p>
    <w:p>
      <w:pPr>
        <w:pStyle w:val="ListParagraph"/>
        <w:numPr>
          <w:ilvl w:val="0"/>
          <w:numId w:val="1"/>
        </w:numPr>
        <w:spacing w:after="60"/>
      </w:pPr>
      <w:r>
        <w:t xml:space="preserve">four_box scores 2.5 (tailwind weak - cyclical recovery + a modest China+1 CRAMS shift; tam weak - a 10x needs ~Rs 5,000 Cr revenue from Rs 1,030 Cr; moat weak - through-cycle ROCE hints at it but top-2 ~55% concentration offsets; valuation yes - ~15x forward on a 31%-ROCE business guiding 15-20% growth is not pricing the recovery in). Score 2.5 with the valuation-box=yes written exception -&gt; thesis_fit 10x-in-2-3-years permitted, conviction capped at Medium with an 'unconfirmed' caveat</w:t>
      </w:r>
    </w:p>
    <w:p>
      <w:pPr>
        <w:pStyle w:val="ListParagraph"/>
        <w:numPr>
          <w:ilvl w:val="0"/>
          <w:numId w:val="1"/>
        </w:numPr>
        <w:spacing w:after="60"/>
      </w:pPr>
      <w:r>
        <w:t xml:space="preserve">Conviction held at Medium: recovery confirmed (upgrade from 'wait for a recovery quarter') but Q1FY27 growth decelerated to +8.7%/+7%, is export-only, the MOU catalyst is small (~15-18% of revenue) and back-end-loaded to Q4FY27, and guidance has a slippage history</w:t>
      </w:r>
    </w:p>
    <w:p>
      <w:pPr>
        <w:pStyle w:val="ListParagraph"/>
        <w:numPr>
          <w:ilvl w:val="0"/>
          <w:numId w:val="1"/>
        </w:numPr>
        <w:spacing w:after="60"/>
      </w:pPr>
      <w:r>
        <w:t xml:space="preserve">No red flag (low debt, 30% dividend, clean AGM). Re-rate up if H2FY27 shows 15%+ growth with new-product volumes actually landing and domestic demand turning</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2026-09-08T14:28:10.482Z</dcterms:created>
  <dcterms:modified xsi:type="dcterms:W3CDTF">2026-09-08T14:28:10.488Z</dcterms:modified>
</cp:coreProperties>
</file>

<file path=docProps/custom.xml><?xml version="1.0" encoding="utf-8"?>
<Properties xmlns="http://schemas.openxmlformats.org/officeDocument/2006/custom-properties" xmlns:vt="http://schemas.openxmlformats.org/officeDocument/2006/docPropsVTypes"/>
</file>