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Arihant Foundations and Housing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Rs5,000cr-GDV Prestige JV vs Rs928cr market cap — real momentum, unconfirmed catalyst, rising leverage</w:t>
      </w:r>
    </w:p>
    <w:p>
      <w:pPr>
        <w:shd w:fill="FFF0F0" w:val="clear"/>
        <w:spacing w:after="200"/>
      </w:pPr>
      <w:r>
        <w:rPr>
          <w:b/>
          <w:bCs/>
          <w:color w:val="1E7A34"/>
          <w:sz w:val="22"/>
          <w:szCs w:val="22"/>
        </w:rPr>
        <w:t xml:space="preserve">RED FLAG TIER: CLEAR — </w:t>
      </w:r>
      <w:r>
        <w:rPr>
          <w:sz w:val="20"/>
          <w:szCs w:val="20"/>
        </w:rPr>
        <w:t xml:space="preserve"/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Arihant Foundations &amp; Housing Ltd (AFHL) — Chennai-based residential/commercial real estate developer, incorporated 1992, listed on BSE (531381) and NSE (ARIHANT). ~95% of projects are executed via Joint Development Agreements (JDA) rather than outright land ownership. ~2.96 mn sqft under execution across 15+ projects (residential, commercial, senior housing, plotted). In 2026 entered a large-scale JV with Prestige Estates (Canopy Living LLP) for a 16.33-acre Padi (Chennai) land parcel, ~Rs5,000cr GDV potential.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Rs 928 Cr (~Rs 894/share, 01-Oct-2026)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P/E (trailing, consol)</w:t>
            </w:r>
          </w:p>
        </w:tc>
        <w:tc>
          <w:tcPr>
            <w:tcW w:type="dxa" w:w="5800"/>
          </w:tcPr>
          <w:p>
            <w:r>
              <w:t xml:space="preserve">13.58x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ROE / ROCE</w:t>
            </w:r>
          </w:p>
        </w:tc>
        <w:tc>
          <w:tcPr>
            <w:tcW w:type="dxa" w:w="5800"/>
          </w:tcPr>
          <w:p>
            <w:r>
              <w:t xml:space="preserve">17.1% / 16.4% (FY26)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Book value</w:t>
            </w:r>
          </w:p>
        </w:tc>
        <w:tc>
          <w:tcPr>
            <w:tcW w:type="dxa" w:w="5800"/>
          </w:tcPr>
          <w:p>
            <w:r>
              <w:t xml:space="preserve">Rs 373/share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FY26 revenue / PAT (consol)</w:t>
            </w:r>
          </w:p>
        </w:tc>
        <w:tc>
          <w:tcPr>
            <w:tcW w:type="dxa" w:w="5800"/>
          </w:tcPr>
          <w:p>
            <w:r>
              <w:t xml:space="preserve">Rs 420 Cr / Rs 59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FY26 pre-sales</w:t>
            </w:r>
          </w:p>
        </w:tc>
        <w:tc>
          <w:tcPr>
            <w:tcW w:type="dxa" w:w="5800"/>
          </w:tcPr>
          <w:p>
            <w:r>
              <w:t xml:space="preserve">Rs 513.70 Cr (+28% YoY, record)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Q1 FY27 pre-sales</w:t>
            </w:r>
          </w:p>
        </w:tc>
        <w:tc>
          <w:tcPr>
            <w:tcW w:type="dxa" w:w="5800"/>
          </w:tcPr>
          <w:p>
            <w:r>
              <w:t xml:space="preserve">Rs 168 Cr (+69% YoY)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Borrowings (FY26)</w:t>
            </w:r>
          </w:p>
        </w:tc>
        <w:tc>
          <w:tcPr>
            <w:tcW w:type="dxa" w:w="5800"/>
          </w:tcPr>
          <w:p>
            <w:r>
              <w:t xml:space="preserve">Rs 478 Cr (vs Rs 149 Cr FY25)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Promoter holding</w:t>
            </w:r>
          </w:p>
        </w:tc>
        <w:tc>
          <w:tcPr>
            <w:tcW w:type="dxa" w:w="5800"/>
          </w:tcPr>
          <w:p>
            <w:r>
              <w:t xml:space="preserve">37.29% (pledge 0%)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Dividend yield</w:t>
            </w:r>
          </w:p>
        </w:tc>
        <w:tc>
          <w:tcPr>
            <w:tcW w:type="dxa" w:w="5800"/>
          </w:tcPr>
          <w:p>
            <w:r>
              <w:t xml:space="preserve">0%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AFHL's FY26 revenue nearly doubled to ~Rs420cr (consol) and pre-sales hit a record Rs513.70cr (+28% YoY), with Q1 FY27 pre-sales up a further 69% YoY — real, accelerating demand off a 15+ project, ~2.96mn sqft JDA pipeline. The headline development is a 2026 JV with Prestige Estates (Canopy Living LLP) for a 16.33-acre Padi land parcel carrying ~Rs5,000cr GDV potential — multiples of AFHL's own Rs928cr market cap — though it is still only at the land-acquisition/JV-formation stage with no disclosed launch date, pricing, or AFHL profit-share percentage. Funding this scale-up has come at a cost: borrowings more than tripled in FY26 (Rs149cr -&gt; Rs478cr) against a net worth of only ~Rs371cr, and quarterly OPM has swung wildly (8%-31%) on project-completion-timing, with analysts independently flagging margin compression. A Rs109cr preferential allotment to marquee investors (Madhusudan Kela's Lotus Family Trust, CaratLane founders) in Nov-2024 diluted promoter holding from 42.87% to 37.29% — a one-time strategic capital raise, not a sell-down (pledge has stayed 0% throughout). Trades at 13.6x trailing P/E against a listed real-estate peer range of 24-56x, though AFHL is far smaller and less liquid than those peers.</w:t>
      </w:r>
    </w:p>
    <w:p>
      <w:pPr>
        <w:pStyle w:val="Heading1"/>
        <w:spacing w:after="120" w:before="280"/>
      </w:pPr>
      <w:r>
        <w:t xml:space="preserve">Deep-Dive: Primary Documents (Annual Reports, Quarterly Results, Exchange Filings)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Pass 1 — 2026-10-01. Built from the company's own filings (3 years of annual reports, ~4 quarters of results/concalls, and 6 months of BSE/NSE announcements), read via the web — a deeper layer than the forum-sentiment read below.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Sources reviewed this pass: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screener.in/company/ARIHANT (consolidated financials, shareholding pattern, documents)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results/concall coverage (tradebrains.in, scanx.trade, multibagg.ai)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FY25 annual commentary (hdfcsky.com, multibagg.ai)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Nov-2024 preferential allotment coverage (yourstory.com, business-standard.com, stockinsights.ai)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Q2/Q3 FY26 results coverage (scanx.trade, marketsmojo.com)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promoter/pledge/debt data (simplywall.st, tijorifinance.com, trendlyne.com)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Annual-report findings (3-year view):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FY25 net profit roughly tripled YoY to ~Rs43cr on revenue +63-66% to ~Rs206-221cr (sources vary slightly between standalone/consolidated); FY26 revenue nearly doubled again to ~Rs420cr (consol)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Borrowings jumped from Rs149cr (FY25) to Rs478cr (FY26) against a net worth of only ~Rs371cr — the single biggest balance-sheet change this year, funding the stepped-up JDA pipeline and the Padi JV land acquisition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Investments line jumped from Rs23cr (FY25) to Rs329cr (FY26) on the balance sheet — consistent with capital deployed into the Padi JV/Canopy Living LLP structure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Working-capital days fell sharply from 324 (FY24) to 79 (FY26) even as revenue nearly quadrupled over the same period — a genuine capital-efficiency improvement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dividend paid in FY26 (0% payout) despite several consecutive profitable years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Direct annual-report MD&amp;A/RPT/contingent-liability detail not independently read this pass — findings above are screener.in's filing-derived financial statements plus secondary news coverage, not a primary AR read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Quarterly trend (last ~4 quarters + concall commentary):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Revenue roughly doubled or more YoY in 5 of the last 6 reported quarters (Q1 FY27 +60%, Q4 FY26 +121%, Q3 FY26 +94%, Q2 FY26 +77%, Q1 FY26 +113%) — strong but lumpy, project-completion-driven growth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OPM swung from 40% (Dec-23) to 8% (Mar-26) to 27% (Jun-26) quarter to quarter — no stable margin run-rate yet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Pre-sales accelerating: 9M FY26 Rs338cr (+39.7% YoY) -&gt; full FY26 Rs513.70cr (+28% YoY, record) -&gt; Q1 FY27 Rs168cr (+69% YoY)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PAT +47% YoY to Rs24.09cr; management flagged slower project conversions due to a cautious buying environment and Tamil Nadu state elections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Exchange announcements (last 6 months):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2026 (JV formation): Prestige Estates + Arihant jointly acquire a 16.33-acre Padi land parcel via Canopy Living LLP, ~Rs5,000cr GDV potential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Nov-2024: Rs109cr preferential equity allotment to Lotus Family Trust (Madhusudan Kela) and CaratLane founders at Rs480/share; Rs76.3cr deployed by FY26, Rs32.3cr balance via warrant conversion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8-Sep-2026: FY2025-26 annual report and 33rd AGM (30-Sep-2026) notice filed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results (Aug-2026): revenue +60% YoY to Rs135.67cr/Rs134.24cr, PAT +47% YoY to Rs24.09cr, EBITDA +56% to Rs37.73cr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Key new facts vs. the prior write-up: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Prestige/Padi JV (~Rs5,000cr GDV) is, on a pure-numbers basis, the single biggest disclosed forward catalyst in this stock's history, dwarfing its current Rs928cr market cap and Rs420cr FY26 revenue base — but it carries no disclosed launch date or AFHL profit-share percentage yet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borrowings more than tripled (Rs149cr -&gt; Rs478cr); net debt/EBITDA is now meaningfully elevated (~4.9x) for a project-based developer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Promoter holding's 42.87%-&gt;37.29% step-down (Dec-2024) was a single, fully disclosed strategic capital raise from marquee investors at a premium price, not a continuous market sell-down; pledge has stayed 0% throughout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 widely syndicated secondary-source figure ('Rs3,400cr FY25 pre-sales', multibagg.ai) appears to be a mislabeled GDV-pipeline number, not actual pre-sales — flagged as unreliable, not used in this write-up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Open questions / what to watch: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Padi/Canopy Living JV: no disclosed launch date, pricing, phasing, or Arihant's precise GDV/profit share — the headline Rs5,000cr figure is total project GDV, not AFHL's share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Exact drivers of the Mar-2026 quarter's unusually low 8% OPM (vs 27-31% in adjacent quarters) weren't independently verified this pass — likely a low-margin project handover, worth confirming in the annual report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One secondary source (multibagg.ai) cited 'FY25 record pre-sales of Rs3,400 crore', inconsistent by ~6-7x with the FY26 'highest-ever annual pre-sales' figure of Rs513.70cr reported elsewhere (scanx.trade/whalesbook.com) — almost certainly a GDV-pipeline figure mislabeled as pre-sales; treated as unreliable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RPT disclosures and annual-report MD&amp;A detail beyond screener's derived financials not independently read this pass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Conviction impact: </w:t>
      </w:r>
      <w:r>
        <w:rPr>
          <w:sz w:val="20"/>
          <w:szCs w:val="20"/>
        </w:rPr>
        <w:t xml:space="preserve">Low-Medium -&gt; Medium. Record FY26 pre-sales, marquee-investor-backed capital raise, and a transformative (if still unconfirmed) Prestige/Padi JV support real upside, but a sharp FY26 leverage increase, volatile project-completion-driven margins, and the JV's pre-revenue stage keep conviction at Medium rather than Medium-High — the 10x-in-2-3-years thesis is live but not yet confirmed by bookings/launches on the new JV.</w:t>
      </w:r>
    </w:p>
    <w:p>
      <w:pPr>
        <w:pStyle w:val="Heading1"/>
        <w:spacing w:after="120" w:before="280"/>
      </w:pPr>
      <w:r>
        <w:t xml:space="preserve">Guidance &amp; Expectation Gap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Management guidance decoded into commitments, graded on the expectation → action → operational → commercial → financial ladder, then compared to what the current price appears to assume. Method: playbook/guidance-and-expectation-gap.md.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Commitment ladder (most-proven first):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600"/>
        <w:gridCol w:w="2400"/>
        <w:gridCol w:w="900"/>
        <w:gridCol w:w="1200"/>
        <w:gridCol w:w="800"/>
      </w:tblGrid>
      <w:tr>
        <w:trPr>
          <w:tblHeader/>
        </w:trPr>
        <w:tc>
          <w:tcPr>
            <w:tcW w:type="dxa" w:w="11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Area</w:t>
            </w:r>
          </w:p>
        </w:tc>
        <w:tc>
          <w:tcPr>
            <w:tcW w:type="dxa" w:w="26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Commitment</w:t>
            </w:r>
          </w:p>
        </w:tc>
        <w:tc>
          <w:tcPr>
            <w:tcW w:type="dxa" w:w="24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Specifics</w:t>
            </w:r>
          </w:p>
        </w:tc>
        <w:tc>
          <w:tcPr>
            <w:tcW w:type="dxa" w:w="9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By when</w:t>
            </w:r>
          </w:p>
        </w:tc>
        <w:tc>
          <w:tcPr>
            <w:tcW w:type="dxa" w:w="12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Stage</w:t>
            </w:r>
          </w:p>
        </w:tc>
        <w:tc>
          <w:tcPr>
            <w:tcW w:type="dxa" w:w="8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Thesis-critical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orders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FY26 record annual pre-sales of Rs513.70cr (+28% YoY); Q1 FY27 pre-sales Rs168cr (+69% YoY)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Area sold +53% YoY to 1,45,281 sqft in Q1 FY27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12M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new_business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16.33-acre Padi (Chennai) land JV with Prestige Estates via Canopy Living LLP — premium residential, ~Rs5,000cr GDV potential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~Rs5,000cr GDV; land jointly acquired, JV entity formed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beyond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growth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Management targets 5x revenue growth over 5 years, with commercial/GCC-office and senior-housing expansion and a possible Bangalore entry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5x in 5 years (open-ended roadmap, not a dated numeric guide)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beyond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expectation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balance_sheet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Rs109cr raised via preferential allotment to Lotus Family Trust (Madhusudan Kela) and CaratLane founders at Rs480/share, Nov-2024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13,65,624 shares at Rs480; Rs76.3cr deployed into projects/subsidiaries/debt/working capital by FY26, Rs32.3cr balance via warrant conversion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6M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financial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Earnings chain: </w:t>
      </w:r>
      <w:r>
        <w:rPr>
          <w:b w:val="false"/>
          <w:bCs w:val="false"/>
          <w:sz w:val="20"/>
          <w:szCs w:val="20"/>
        </w:rPr>
        <w:t xml:space="preserve">JDA project pipeline (15+ projects, ~2.96mn sqft) + Padi/Prestige JV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pre-sales bookings (Rs513.70cr FY26, accelerating)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project completion / revenue recognition (% completion method — lumpy)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EBITDA margin (8-31%, volatile quarter to quarter)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PAT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Bottleneck link: project completion/handover timing drives lumpy revenue recognition, and the Padi JV's multi-year gestation before first revenue.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Operating leverage: unclear — margin swung from 31% (FY25) to 23% (FY26) to 8% (Mar-26 quarter) to 27% (Jun-26 quarter), driven by project mix/completion-stage timing rather than a clean scale effect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Evidenced: pre-sales bookings; JDA project pipeline; Padi JV land acquisition. Still assumed: revenue-recognition timing; margin normalisation; Padi JV launch within the implied roadmap.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Market expectation vs. our path: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 of</w:t>
            </w:r>
          </w:p>
        </w:tc>
        <w:tc>
          <w:tcPr>
            <w:tcW w:type="dxa" w:w="5800"/>
          </w:tcPr>
          <w:p>
            <w:r>
              <w:t xml:space="preserve">2026-10-01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multiple</w:t>
            </w:r>
          </w:p>
        </w:tc>
        <w:tc>
          <w:tcPr>
            <w:tcW w:type="dxa" w:w="5800"/>
          </w:tcPr>
          <w:p>
            <w:r>
              <w:t xml:space="preserve">Rs 894 · 13.58x 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Right valuation lens</w:t>
            </w:r>
          </w:p>
        </w:tc>
        <w:tc>
          <w:tcPr>
            <w:tcW w:type="dxa" w:w="5800"/>
          </w:tcPr>
          <w:p>
            <w:r>
              <w:t xml:space="preserve">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implies</w:t>
            </w:r>
          </w:p>
        </w:tc>
        <w:tc>
          <w:tcPr>
            <w:tcW w:type="dxa" w:w="5800"/>
          </w:tcPr>
          <w:p>
            <w:r>
              <w:t xml:space="preserve">Listed real-estate peers trade 24-56x (Oberoi 24x, Godrej Properties 30x, Lodha 27x, DLF 38x, Prestige 56x); a conservative 18-20x exit multiple needs only modest (~0-5%) further EPS growth to justify AFHL's current 13.6x — the market is pricing it as a plain small-cap developer, assigning no value to the Rs5,000cr-GDV Prestige/Padi JV pipeline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FY27</w:t>
            </w:r>
          </w:p>
        </w:tc>
        <w:tc>
          <w:tcPr>
            <w:tcW w:type="dxa" w:w="5800"/>
          </w:tcPr>
          <w:p>
            <w:r>
              <w:t xml:space="preserve">Revenue keeps compounding off FY26's Rs420cr base as handed-over JDA projects recognise revenue; FY26's record presales (Rs513.70cr, +28% YoY) and Q1 FY27 presales (+69% YoY) support continued topline growth, though margin volatility (OPM swung 8%-31% quarter to quarter in FY26) likely continues on % completion timing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FY28</w:t>
            </w:r>
          </w:p>
        </w:tc>
        <w:tc>
          <w:tcPr>
            <w:tcW w:type="dxa" w:w="5800"/>
          </w:tcPr>
          <w:p>
            <w:r>
              <w:t xml:space="preserve">First meaningful revenue contribution from the Padi/Canopy Living JV becomes visible if launch timelines hold; FY28 is plausibly the first year the Rs5,000cr-GDV pipeline starts showing up in reported numbers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direction</w:t>
            </w:r>
          </w:p>
        </w:tc>
        <w:tc>
          <w:tcPr>
            <w:tcW w:type="dxa" w:w="5800"/>
          </w:tcPr>
          <w:p>
            <w:r>
              <w:t xml:space="preserve">underestimated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type</w:t>
            </w:r>
          </w:p>
        </w:tc>
        <w:tc>
          <w:tcPr>
            <w:tcW w:type="dxa" w:w="5800"/>
          </w:tcPr>
          <w:p>
            <w:r>
              <w:t xml:space="preserve">new_business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magnitude</w:t>
            </w:r>
          </w:p>
        </w:tc>
        <w:tc>
          <w:tcPr>
            <w:tcW w:type="dxa" w:w="5800"/>
          </w:tcPr>
          <w:p>
            <w:r>
              <w:t xml:space="preserve">not estimable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basis</w:t>
            </w:r>
          </w:p>
        </w:tc>
        <w:tc>
          <w:tcPr>
            <w:tcW w:type="dxa" w:w="5800"/>
          </w:tcPr>
          <w:p>
            <w:r>
              <w:t xml:space="preserve">No analyst consensus; AFHL's 13.6x trailing P/E embeds none of the Rs5,000cr Prestige-JV GDV pipeline, which is multiples of AFHL's own Rs928cr market cap even on a modest effective-share basis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Evidence quality</w:t>
            </w:r>
          </w:p>
        </w:tc>
        <w:tc>
          <w:tcPr>
            <w:tcW w:type="dxa" w:w="5800"/>
          </w:tcPr>
          <w:p>
            <w:r>
              <w:t xml:space="preserve">strong</w:t>
            </w:r>
          </w:p>
        </w:tc>
      </w:tr>
    </w:tbl>
    <w:p>
      <w:pPr>
        <w:spacing w:after="120"/>
      </w:pPr>
      <w:r>
        <w:rPr>
          <w:i/>
          <w:iCs/>
          <w:color w:val="666666"/>
          <w:sz w:val="16"/>
          <w:szCs w:val="16"/>
        </w:rPr>
        <w:t xml:space="preserve">no broker consensus; implied path is a reverse-P/E estimate + screener.in forward figures + VP thread view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Catalyst: </w:t>
      </w:r>
      <w:r>
        <w:rPr>
          <w:sz w:val="20"/>
          <w:szCs w:val="20"/>
        </w:rPr>
        <w:t xml:space="preserve">Padi/Canopy Living JV project launch (first-phase bookings) + continued pre-sales momentum print in Q2/Q3 FY27 results</w:t>
      </w:r>
      <w:r>
        <w:rPr>
          <w:color w:val="666666"/>
          <w:sz w:val="18"/>
          <w:szCs w:val="18"/>
        </w:rPr>
        <w:t xml:space="preserve"> (window ~12M from 2026-10-01; undated; evidence med; pending)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quality metrics · track record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Value chain &amp; supply side: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Theme</w:t>
            </w:r>
          </w:p>
        </w:tc>
        <w:tc>
          <w:tcPr>
            <w:tcW w:type="dxa" w:w="5800"/>
          </w:tcPr>
          <w:p>
            <w:r>
              <w:t xml:space="preserve">Chennai residential/commercial real estate (JDA-led developer)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This company's position</w:t>
            </w:r>
          </w:p>
        </w:tc>
        <w:tc>
          <w:tcPr>
            <w:tcW w:type="dxa" w:w="5800"/>
          </w:tcPr>
          <w:p>
            <w:r>
              <w:t xml:space="preserve">Mid-sized Chennai developer executing ~2.96mn sqft across 15+ projects almost entirely via Joint Development Agreements (95%); recently entered a large-scale JV with Prestige Estates (Canopy Living LLP) for a 16.33-acre Padi land parcel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Bottleneck node (pricing power)</w:t>
            </w:r>
          </w:p>
        </w:tc>
        <w:tc>
          <w:tcPr>
            <w:tcW w:type="dxa" w:w="5800"/>
          </w:tcPr>
          <w:p>
            <w:r>
              <w:t xml:space="preserve">land-owner JDA negotiations and regulatory/plan approvals for large parcels like Padi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Supply-side status</w:t>
            </w:r>
          </w:p>
        </w:tc>
        <w:tc>
          <w:tcPr>
            <w:tcW w:type="dxa" w:w="5800"/>
          </w:tcPr>
          <w:p>
            <w:r>
              <w:t xml:space="preserve">adding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Adjacent-node peers</w:t>
            </w:r>
          </w:p>
        </w:tc>
        <w:tc>
          <w:tcPr>
            <w:tcW w:type="dxa" w:w="5800"/>
          </w:tcPr>
          <w:p>
            <w:r>
              <w:t xml:space="preserve">Prestige Estates, Casagrand, Radiance Realty, DRA Homes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Scale gap with Prestige Estates (Rs64,000cr+ market cap) is enormous even post-JV; Arihant's JDA-heavy model keeps capital intensity lower than outright land-banking peers but also caps the economics it can capture per project.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Earnings quality: </w:t>
      </w:r>
      <w:r>
        <w:rPr>
          <w:sz w:val="20"/>
          <w:szCs w:val="20"/>
        </w:rPr>
        <w:t xml:space="preserve">margin driver cyclical</w:t>
      </w:r>
      <w:r>
        <w:rPr>
          <w:b/>
          <w:bCs/>
          <w:color w:val="A32020"/>
          <w:sz w:val="20"/>
          <w:szCs w:val="20"/>
        </w:rPr>
        <w:t xml:space="preserve">  — PEAK-MARGIN RISK: do not capitalise current margins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Drivers: % completion revenue-recognition timing on individual large projects; project mix (residential vs commercial vs senior-housing margins differ); land/JDA cost structure per project.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OPM has ranged 8%-40% across individual quarters over the past 3 years purely on revenue-recognition timing; FY25's 31% full-year OPM looks like a high point rather than a sustainable run-rate, and FY26 already pulled back to 23%.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Growth trajectory: </w:t>
      </w:r>
      <w:r>
        <w:rPr>
          <w:b w:val="false"/>
          <w:bCs w:val="false"/>
          <w:sz w:val="20"/>
          <w:szCs w:val="20"/>
        </w:rPr>
        <w:t xml:space="preserve">YoY growth rate is lumpy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QoQ/YoY revenue growth has been extreme and uneven: Q1 FY27 +60% YoY, Q4 FY26 +121% YoY, Q3 FY26 +94% YoY, Q2 FY26 +77% YoY, Q1 FY26 +113% YoY — consistently triple-digit-adjacent YoY growth but off a small, lumpy project-completion base, not a smooth demand curve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Reverse P/E: 13.6x trailing P/E needs only flat-to-modest EPS growth to hold; actual trailing growth has been far higher (FY26 PAT +37% YoY, Q1 FY27 +47% YoY) even before the Padi JV contributes — rate-of-change strongly favours the bull case if even a fraction of the recent growth rate persists.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Management quality (TVGP's "P"):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neutral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Capital allocation</w:t>
            </w:r>
          </w:p>
        </w:tc>
        <w:tc>
          <w:tcPr>
            <w:tcW w:type="dxa" w:w="5800"/>
          </w:tcPr>
          <w:p>
            <w:r>
              <w:t xml:space="preserve">Family-run (Lunawath family) developer; recent capital allocation shows a shift toward larger, higher-profile JVs (Prestige/Padi) funded by a mix of marquee-investor preferential equity (Rs109cr, Nov-2024) and a sharp increase in borrowings (Rs149cr FY25 -&gt; Rs478cr FY26); no unrelated diversification found (unclear)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Related-party trend</w:t>
            </w:r>
          </w:p>
        </w:tc>
        <w:tc>
          <w:tcPr>
            <w:tcW w:type="dxa" w:w="5800"/>
          </w:tcPr>
          <w:p>
            <w:r>
              <w:t xml:space="preserve">unclear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Guidance credibility</w:t>
            </w:r>
          </w:p>
        </w:tc>
        <w:tc>
          <w:tcPr>
            <w:tcW w:type="dxa" w:w="5800"/>
          </w:tcPr>
          <w:p>
            <w:r>
              <w:t xml:space="preserve">unclear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Shareholder returns</w:t>
            </w:r>
          </w:p>
        </w:tc>
        <w:tc>
          <w:tcPr>
            <w:tcW w:type="dxa" w:w="5800"/>
          </w:tcPr>
          <w:p>
            <w:r>
              <w:t xml:space="preserve">none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Capability ladder / VAP</w:t>
            </w:r>
          </w:p>
        </w:tc>
        <w:tc>
          <w:tcPr>
            <w:tcW w:type="dxa" w:w="5800"/>
          </w:tcPr>
          <w:p>
            <w:r>
              <w:t xml:space="preserve">Explicit strategic shift from standalone residential JDAs toward large-scale branded partnerships (Prestige JV) and new verticals (senior housing, GCC-oriented commercial, plotted development) — a real capability-ladder move, though unproven at scale</w:t>
            </w:r>
          </w:p>
        </w:tc>
      </w:tr>
    </w:tbl>
    <w:p>
      <w:pPr>
        <w:spacing w:after="120"/>
      </w:pPr>
      <w:r>
        <w:rPr>
          <w:b/>
          <w:bCs/>
          <w:sz w:val="20"/>
          <w:szCs w:val="20"/>
        </w:rPr>
        <w:t xml:space="preserve">Quality metrics (ROCE · debt · FCF · margin · capex):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neutral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16.4% (improving)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Leverage</w:t>
            </w:r>
          </w:p>
        </w:tc>
        <w:tc>
          <w:tcPr>
            <w:tcW w:type="dxa" w:w="5800"/>
          </w:tcPr>
          <w:p>
            <w:r>
              <w:t xml:space="preserve">Net debt/EBITDA 4.9x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FCF conversion</w:t>
            </w:r>
          </w:p>
        </w:tc>
        <w:tc>
          <w:tcPr>
            <w:tcW w:type="dxa" w:w="5800"/>
          </w:tcPr>
          <w:p>
            <w:r>
              <w:t xml:space="preserve">31%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 trend</w:t>
            </w:r>
          </w:p>
        </w:tc>
        <w:tc>
          <w:tcPr>
            <w:tcW w:type="dxa" w:w="5800"/>
          </w:tcPr>
          <w:p>
            <w:r>
              <w:t xml:space="preserve">contracting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Capex efficiency</w:t>
            </w:r>
          </w:p>
        </w:tc>
        <w:tc>
          <w:tcPr>
            <w:tcW w:type="dxa" w:w="5800"/>
          </w:tcPr>
          <w:p>
            <w:r>
              <w:t xml:space="preserve">productive</w:t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Track record (Coffee Can persistence check): </w:t>
      </w:r>
      <w:r>
        <w:rPr>
          <w:sz w:val="20"/>
          <w:szCs w:val="20"/>
        </w:rPr>
        <w:t xml:space="preserve">cleared revenue growth ≥10% AND ROCE ≥15% in 2 of the last 4 years (consistency_score 50)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FY23-FY26 checked (consolidated revenue growth &gt;=10% AND ROCE &gt;=15%): FY23 revenue -23% (fails growth), ROCE 9% (fails); FY24 revenue +94% (passes) but ROCE 11% (fails); FY25 revenue +66% (passes) and ROCE 20% (passes) — cleared; FY26 revenue +104% (passes) and ROCE 16% (passes) — cleared. FY25 and FY26 both cleared simultaneously as the Prestige-linked project pipeline scaled — a genuine 2-year inflection, not yet a 3+-year trend; FY23 was a pre-ramp, low-base year.</w:t>
      </w:r>
    </w:p>
    <w:p>
      <w:pPr>
        <w:pStyle w:val="Heading1"/>
        <w:spacing w:after="120" w:before="280"/>
      </w:pPr>
      <w:r>
        <w:t xml:space="preserve">Fundamentals-Gap Checks (shareholding · working capital · sector KPIs · scenario analysis)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fundamentals extracted from the same filings — informational only, not yet consumed by any scoring script.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Shareholding pattern: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Promoter %</w:t>
            </w:r>
          </w:p>
        </w:tc>
        <w:tc>
          <w:tcPr>
            <w:tcW w:type="dxa" w:w="5800"/>
          </w:tcPr>
          <w:p>
            <w:r>
              <w:t xml:space="preserve">37.29% (falling)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Pledge %</w:t>
            </w:r>
          </w:p>
        </w:tc>
        <w:tc>
          <w:tcPr>
            <w:tcW w:type="dxa" w:w="5800"/>
          </w:tcPr>
          <w:p>
            <w:r>
              <w:t xml:space="preserve">0% (stable)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FII/DII %</w:t>
            </w:r>
          </w:p>
        </w:tc>
        <w:tc>
          <w:tcPr>
            <w:tcW w:type="dxa" w:w="5800"/>
          </w:tcPr>
          <w:p>
            <w:r>
              <w:t xml:space="preserve">1.85% (rising)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Quarters checked</w:t>
            </w:r>
          </w:p>
        </w:tc>
        <w:tc>
          <w:tcPr>
            <w:tcW w:type="dxa" w:w="5800"/>
          </w:tcPr>
          <w:p>
            <w:r>
              <w:t xml:space="preserve">Sep2025, Dec2025, Mar2026, Jun2026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Promoter holding's step-down from 42.87% to 37.29% in Dec-2024 was a single, fully disclosed event — a Rs109cr preferential equity allotment to marquee investors (Madhusudan Kela's Lotus Family Trust, CaratLane founders) at Rs480/share — not a continuous market sell-down; pledge has stayed 0% throughout, and promoter % has been flat at 37.29% for the last 4 quarters since. Key promoters: Kamal Lunawath (14.63%), Vimal Lunawath (14.05%), Lunawath Snehalatha (2.51%), Madhu Lunawath (2.51%).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Working capital: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Inventory days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Receivable days</w:t>
            </w:r>
          </w:p>
        </w:tc>
        <w:tc>
          <w:tcPr>
            <w:tcW w:type="dxa" w:w="5800"/>
          </w:tcPr>
          <w:p>
            <w:r>
              <w:t xml:space="preserve">66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Payable days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Cash conversion cycle</w:t>
            </w:r>
          </w:p>
        </w:tc>
        <w:tc>
          <w:tcPr>
            <w:tcW w:type="dxa" w:w="5800"/>
          </w:tcPr>
          <w:p>
            <w:r>
              <w:t xml:space="preserve">66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3y trend</w:t>
            </w:r>
          </w:p>
        </w:tc>
        <w:tc>
          <w:tcPr>
            <w:tcW w:type="dxa" w:w="5800"/>
          </w:tcPr>
          <w:p>
            <w:r>
              <w:t xml:space="preserve">improving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Vs sector</w:t>
            </w:r>
          </w:p>
        </w:tc>
        <w:tc>
          <w:tcPr>
            <w:tcW w:type="dxa" w:w="5800"/>
          </w:tcPr>
          <w:p>
            <w:r>
              <w:t xml:space="preserve">unclear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Debtor/working-capital days have improved sharply (WC days 324 -&gt; 294 -&gt; 79 over FY24-26) even as revenue nearly quadrupled — a genuinely positive capital-efficiency signal, though real-estate inventory/WIP isn't captured cleanly in screener's standard inventory-day metric for this company (inventory_days/payable_days left null — not cleanly derivable this pass). No peer working-capital figure was pulled for a direct sector_relative comparison.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Sector KPIs: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Pre-sales (bookings): Rs 513.70 Cr FY26 (+28% YoY, record); Rs 168 Cr Q1 FY27 (+69% YoY) (improving)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Area sold: 1,45,281 sqft Q1 FY27 (+53% YoY) (improving)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Ongoing project pipeline: ~2.96 mn sqft across 15+ JDA projects (residential/commercial/senior-housing/plotted) (improving) — plus the new 16.33-acre Padi JV, not yet in execution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Collections: Rs 69 Cr Q1 FY27 (unclear) — no comparable prior-period figure sourced this pass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Scenario analysis (closest to: bear):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Bull</w:t>
            </w:r>
          </w:p>
        </w:tc>
        <w:tc>
          <w:tcPr>
            <w:tcW w:type="dxa" w:w="5800"/>
          </w:tcPr>
          <w:p>
            <w:r>
              <w:t xml:space="preserve">rev CAGR 55%, FY28 margin 28%, FY28 EPS 135, exit 22x, implied price 2970 (+232% vs CMP)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Base</w:t>
            </w:r>
          </w:p>
        </w:tc>
        <w:tc>
          <w:tcPr>
            <w:tcW w:type="dxa" w:w="5800"/>
          </w:tcPr>
          <w:p>
            <w:r>
              <w:t xml:space="preserve">rev CAGR 35%, FY28 margin 24%, FY28 EPS 95, exit 16x, implied price 1520 (+70% vs CMP)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Bear</w:t>
            </w:r>
          </w:p>
        </w:tc>
        <w:tc>
          <w:tcPr>
            <w:tcW w:type="dxa" w:w="5800"/>
          </w:tcPr>
          <w:p>
            <w:r>
              <w:t xml:space="preserve">rev CAGR 10%, FY28 margin 18%, FY28 EPS 68, exit 11x, implied price 748 (-16% vs CMP)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Bull requires the Padi/Canopy Living JV to start contributing ahead of its multi-year gestation while FY26's pre-sales momentum (+28%) continues; bear assumes Chennai demand cools (TN election-related disruption already flagged by management in Q1 FY27), margin compression continues, and the elevated FY26 debt load (borrowings more than tripled YoY) becomes a constraint rather than growth fuel.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independently pulled this pass (owned by the technical_cache.json pipeline).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Not read this pass — this deep-dive is primary-document-first (annual reports, concalls, exchange filings), not a ValuePickr forum read.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See deep_dive.recent_announcements above for the 6-month BSE/NSE filing summary; no separate red-flag corporate actions (pledge creation, auditor resignation, forensic order) found this pass.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Prestige Estates JV (Canopy Living LLP) for a 16.33-acre Padi parcel carries ~Rs5,000cr GDV potential — multiples of AFHL's Rs928cr market cap and Rs420cr FY26 revenue, not yet reflected in the share price (13.6x trailing P/E vs a 24-56x peer range)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record pre-sales of Rs513.70cr (+28% YoY) and Q1 FY27 pre-sales +69% YoY show real, accelerating demand, not just a one-off project handover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Marquee strategic investors (Madhusudan Kela's Lotus Family Trust, CaratLane founders) backed a Rs109cr preferential raise at Rs480/share in Nov-2024 — since re-rated to Rs894, a vote of confidence from sophisticated capital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ROCE improved from 1% (FY20) to a 16-20% range (FY25-26) as the JDA-led project pipeline scaled; working-capital days fell sharply (324 -&gt; 79) even as revenue nearly quadrupled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Borrowings more than tripled in FY26 (Rs149cr -&gt; Rs478cr) against a net worth of only ~Rs371cr — net debt/EBITDA around ~4.9x is meaningfully leveraged for a project-based developer, funding a JV payoff that is still years away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OPM swung from 31% (FY25) to 23% (FY26) to as low as 8% in a single quarter (Mar-26) — analysts have independently flagged margin compression; earnings quality is project-completion-timing-dependent, not a clean operating-leverage story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95% of projects are Joint Development Agreements — Arihant does not own the underlying land outright, capping the economics it captures and leaving limited structural moat versus other JDA-model Chennai developers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Zero dividend payout despite several consecutive profitable years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Management itself flagged slower project conversions in Q1 FY27 due to a 'cautious buying environment' and Tamil Nadu state elections — a near-term demand risk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Padi JV is only at the land-acquisition/JV-formation stage — no launch date, pricing, or sales disclosed yet; the 10x thesis is unconfirmed until it converts to bookings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Small-cap (~Rs 928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10x-in-2-3-years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yes · TAM: yes · moat: weak · valuation: yes  (score 3.5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Chennai residential/commercial upcycle (GCC-office demand, redevelopment, senior housing per management's own 5x-in-5-years roadmap) is structural. TAM yes: the Prestige/Padi JV alone (~Rs5,000cr GDV) is &gt;10x AFHL's FY26 revenue base (Rs420cr) and several multiples of its Rs928cr market cap. Moat weak: 95% of projects are JDAs — Arihant doesn't own the underlying land, margins are project-based, and the main brand lift is from the Prestige association rather than a structural edge of its own. Valuation yes at 13.6x trailing P/E / ROE 17% vs listed peers at 24-56x P/E, though AFHL's far smaller scale/liquidity means a full discount-closing isn't realistic. Score 3.5 clears the four-box bar; kept as 10x-in-2-3-years (not overridden to neither) since a single transformative JV catalyst re-rating a Rs928cr-cap developer is a realistic category of outcome for this size/sector, unlike a deposit-funded bank — but the catalyst is still unconfirmed (land acquired, no launch yet), so conviction is capped accordingly.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Rs5,000cr-GDV Prestige JV dwarfs the current Rs928cr market cap, but it is unconfirmed and funded by a sharp recent rise in leverage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Four-box score 3.5/4 (tailwind yes, TAM yes via the Padi JV, moat weak — JDA model, valuation yes at 13.6x vs a 24-56x peer range) supports the 10x-in-2-3-years label, but the headline catalyst is still pre-revenue — kept as an 'unconfirmed' live-inflection case per project convention, not a confirmed trend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FY25-26 is the first 2-year stretch clearing both revenue growth &gt;=10% and ROCE &gt;=15% simultaneously — a real but short (2-year) track record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Conviction raised to Medium (from Low-Medium): record pre-sales and marquee-investor backing are real positives, but the FY26 leverage jump (debt more than tripled) and margin volatility hold it below Medium-High until the Padi JV converts to actual bookings/launches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2026-10-01T14:03:50.417Z</dcterms:created>
  <dcterms:modified xsi:type="dcterms:W3CDTF">2026-10-01T14:03:50.423Z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