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Rajratan Global</w:t>
      </w:r>
    </w:p>
    <w:p>
      <w:pPr>
        <w:pBdr>
          <w:bottom w:val="single" w:color="CCCCCC" w:sz="6" w:space="8"/>
        </w:pBdr>
        <w:spacing w:after="200"/>
      </w:pPr>
      <w:r>
        <w:rPr>
          <w:i/>
          <w:iCs/>
          <w:color w:val="666666"/>
          <w:sz w:val="22"/>
          <w:szCs w:val="22"/>
        </w:rPr>
        <w:t xml:space="preserve">Genuine bead-wire moat (42-43% India share, sole Thailand maker) with a confirming Q1 FY27 margin print, but valuation now rich</w:t>
      </w:r>
    </w:p>
    <w:p>
      <w:pPr>
        <w:shd w:fill="FFF0F0" w:val="clear"/>
        <w:spacing w:after="200"/>
      </w:pPr>
      <w:r>
        <w:rPr>
          <w:b/>
          <w:bCs/>
          <w:color w:val="1E7A34"/>
          <w:sz w:val="22"/>
          <w:szCs w:val="22"/>
        </w:rPr>
        <w:t xml:space="preserve">RED FLAG TIER: CLEAR — </w:t>
      </w:r>
      <w:r>
        <w:rPr>
          <w:sz w:val="20"/>
          <w:szCs w:val="20"/>
        </w:rPr>
        <w:t xml:space="preserve"/>
      </w:r>
    </w:p>
    <w:p>
      <w:pPr>
        <w:pStyle w:val="Heading1"/>
        <w:spacing w:after="120" w:before="280"/>
      </w:pPr>
      <w:r>
        <w:t xml:space="preserve">Business Overview</w:t>
      </w:r>
    </w:p>
    <w:p>
      <w:pPr>
        <w:spacing w:after="120"/>
      </w:pPr>
      <w:r>
        <w:t xml:space="preserve">India's largest tyre bead-wire (steel wire reinforcement for tyres) manufacturer with 42-43% domestic market share, plus a wholly-owned Thailand subsidiary that is the only bead-wire manufacturer in that country (30-year built moat), a US subsidiary, and a new Chennai greenfield plant (Phase-1 30,000 TPA at 85-90% utilisation, doubling to 60,000 TPA by ~Q2 FY27). Customers include MRF, Apollo, CEAT, BKT domestically and Bridgestone, Michelin, Goodyear internationally -- OEM qualification takes 1-3 years domestically and 3-5 years globally, with ~85% of revenue from customers of 5+ years' tenure. New steel-cord pilot (Indore, Rs70cr capex) is an adjacent-market capability bet targeting 20% EBITDA margins, explicitly framed by management as a 'learning vehicle toward wire ropes,' not a near-term core driver.</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 (Rs cr)</w:t>
            </w:r>
          </w:p>
        </w:tc>
        <w:tc>
          <w:tcPr>
            <w:tcW w:type="dxa" w:w="5800"/>
          </w:tcPr>
          <w:p>
            <w:r>
              <w:t xml:space="preserve">~2,296 (price ~Rs471, late Sept 2026)</w:t>
            </w:r>
          </w:p>
        </w:tc>
      </w:tr>
      <w:tr>
        <w:tc>
          <w:tcPr>
            <w:tcW w:type="dxa" w:w="3200"/>
            <w:shd w:fill="F2F2F2" w:val="clear"/>
          </w:tcPr>
          <w:p>
            <w:r>
              <w:rPr>
                <w:b/>
                <w:bCs/>
              </w:rPr>
              <w:t xml:space="preserve">P/E (trailing)</w:t>
            </w:r>
          </w:p>
        </w:tc>
        <w:tc>
          <w:tcPr>
            <w:tcW w:type="dxa" w:w="5800"/>
          </w:tcPr>
          <w:p>
            <w:r>
              <w:t xml:space="preserve">~29-31x (reclassified 'expensive' from 'fair' late Sept 2026)</w:t>
            </w:r>
          </w:p>
        </w:tc>
      </w:tr>
      <w:tr>
        <w:tc>
          <w:tcPr>
            <w:tcW w:type="dxa" w:w="3200"/>
            <w:shd w:fill="F2F2F2" w:val="clear"/>
          </w:tcPr>
          <w:p>
            <w:r>
              <w:rPr>
                <w:b/>
                <w:bCs/>
              </w:rPr>
              <w:t xml:space="preserve">Book Value (Rs/share)</w:t>
            </w:r>
          </w:p>
        </w:tc>
        <w:tc>
          <w:tcPr>
            <w:tcW w:type="dxa" w:w="5800"/>
          </w:tcPr>
          <w:p>
            <w:r>
              <w:t xml:space="preserve">128 (P/B ~3.5x)</w:t>
            </w:r>
          </w:p>
        </w:tc>
      </w:tr>
      <w:tr>
        <w:tc>
          <w:tcPr>
            <w:tcW w:type="dxa" w:w="3200"/>
            <w:shd w:fill="F2F2F2" w:val="clear"/>
          </w:tcPr>
          <w:p>
            <w:r>
              <w:rPr>
                <w:b/>
                <w:bCs/>
              </w:rPr>
              <w:t xml:space="preserve">ROCE</w:t>
            </w:r>
          </w:p>
        </w:tc>
        <w:tc>
          <w:tcPr>
            <w:tcW w:type="dxa" w:w="5800"/>
          </w:tcPr>
          <w:p>
            <w:r>
              <w:t xml:space="preserve">13.2% (down from FY22 peak; EBITDA margin fell 20.3% -&gt; 12.1% FY22-FY26)</w:t>
            </w:r>
          </w:p>
        </w:tc>
      </w:tr>
      <w:tr>
        <w:tc>
          <w:tcPr>
            <w:tcW w:type="dxa" w:w="3200"/>
            <w:shd w:fill="F2F2F2" w:val="clear"/>
          </w:tcPr>
          <w:p>
            <w:r>
              <w:rPr>
                <w:b/>
                <w:bCs/>
              </w:rPr>
              <w:t xml:space="preserve">ROE</w:t>
            </w:r>
          </w:p>
        </w:tc>
        <w:tc>
          <w:tcPr>
            <w:tcW w:type="dxa" w:w="5800"/>
          </w:tcPr>
          <w:p>
            <w:r>
              <w:t xml:space="preserve">11.5% (3yr avg ~12.5%)</w:t>
            </w:r>
          </w:p>
        </w:tc>
      </w:tr>
      <w:tr>
        <w:tc>
          <w:tcPr>
            <w:tcW w:type="dxa" w:w="3200"/>
            <w:shd w:fill="F2F2F2" w:val="clear"/>
          </w:tcPr>
          <w:p>
            <w:r>
              <w:rPr>
                <w:b/>
                <w:bCs/>
              </w:rPr>
              <w:t xml:space="preserve">Revenue FY26 (Rs cr)</w:t>
            </w:r>
          </w:p>
        </w:tc>
        <w:tc>
          <w:tcPr>
            <w:tcW w:type="dxa" w:w="5800"/>
          </w:tcPr>
          <w:p>
            <w:r>
              <w:t xml:space="preserve">1,156.5 (+24% YoY), volumes 133,615 MT (+18%)</w:t>
            </w:r>
          </w:p>
        </w:tc>
      </w:tr>
      <w:tr>
        <w:tc>
          <w:tcPr>
            <w:tcW w:type="dxa" w:w="3200"/>
            <w:shd w:fill="F2F2F2" w:val="clear"/>
          </w:tcPr>
          <w:p>
            <w:r>
              <w:rPr>
                <w:b/>
                <w:bCs/>
              </w:rPr>
              <w:t xml:space="preserve">EBITDA Margin FY26</w:t>
            </w:r>
          </w:p>
        </w:tc>
        <w:tc>
          <w:tcPr>
            <w:tcW w:type="dxa" w:w="5800"/>
          </w:tcPr>
          <w:p>
            <w:r>
              <w:t xml:space="preserve">12.1% (down 150bps YoY); Q4 FY26 fell to 9.1% on a wire-rod cost spike</w:t>
            </w:r>
          </w:p>
        </w:tc>
      </w:tr>
      <w:tr>
        <w:tc>
          <w:tcPr>
            <w:tcW w:type="dxa" w:w="3200"/>
            <w:shd w:fill="F2F2F2" w:val="clear"/>
          </w:tcPr>
          <w:p>
            <w:r>
              <w:rPr>
                <w:b/>
                <w:bCs/>
              </w:rPr>
              <w:t xml:space="preserve">PAT FY26 (Rs cr)</w:t>
            </w:r>
          </w:p>
        </w:tc>
        <w:tc>
          <w:tcPr>
            <w:tcW w:type="dxa" w:w="5800"/>
          </w:tcPr>
          <w:p>
            <w:r>
              <w:t xml:space="preserve">70.11 (+19% YoY)</w:t>
            </w:r>
          </w:p>
        </w:tc>
      </w:tr>
      <w:tr>
        <w:tc>
          <w:tcPr>
            <w:tcW w:type="dxa" w:w="3200"/>
            <w:shd w:fill="F2F2F2" w:val="clear"/>
          </w:tcPr>
          <w:p>
            <w:r>
              <w:rPr>
                <w:b/>
                <w:bCs/>
              </w:rPr>
              <w:t xml:space="preserve">Q1 FY27 EBITDA (Rs cr)</w:t>
            </w:r>
          </w:p>
        </w:tc>
        <w:tc>
          <w:tcPr>
            <w:tcW w:type="dxa" w:w="5800"/>
          </w:tcPr>
          <w:p>
            <w:r>
              <w:t xml:space="preserve">41.71 (+35% YoY), margin ~13.1% -- first guidance-matching print since FY22</w:t>
            </w:r>
          </w:p>
        </w:tc>
      </w:tr>
      <w:tr>
        <w:tc>
          <w:tcPr>
            <w:tcW w:type="dxa" w:w="3200"/>
            <w:shd w:fill="F2F2F2" w:val="clear"/>
          </w:tcPr>
          <w:p>
            <w:r>
              <w:rPr>
                <w:b/>
                <w:bCs/>
              </w:rPr>
              <w:t xml:space="preserve">Q1 FY27 PAT (Rs cr)</w:t>
            </w:r>
          </w:p>
        </w:tc>
        <w:tc>
          <w:tcPr>
            <w:tcW w:type="dxa" w:w="5800"/>
          </w:tcPr>
          <w:p>
            <w:r>
              <w:t xml:space="preserve">22.96 (+70% YoY)</w:t>
            </w:r>
          </w:p>
        </w:tc>
      </w:tr>
      <w:tr>
        <w:tc>
          <w:tcPr>
            <w:tcW w:type="dxa" w:w="3200"/>
            <w:shd w:fill="F2F2F2" w:val="clear"/>
          </w:tcPr>
          <w:p>
            <w:r>
              <w:rPr>
                <w:b/>
                <w:bCs/>
              </w:rPr>
              <w:t xml:space="preserve">Debt (Mar 2026, Rs cr)</w:t>
            </w:r>
          </w:p>
        </w:tc>
        <w:tc>
          <w:tcPr>
            <w:tcW w:type="dxa" w:w="5800"/>
          </w:tcPr>
          <w:p>
            <w:r>
              <w:t xml:space="preserve">~324; Debt/EBITDA ~2.3x; Debt/Equity ~0.51x</w:t>
            </w:r>
          </w:p>
        </w:tc>
      </w:tr>
      <w:tr>
        <w:tc>
          <w:tcPr>
            <w:tcW w:type="dxa" w:w="3200"/>
            <w:shd w:fill="F2F2F2" w:val="clear"/>
          </w:tcPr>
          <w:p>
            <w:r>
              <w:rPr>
                <w:b/>
                <w:bCs/>
              </w:rPr>
              <w:t xml:space="preserve">Promoter Holding</w:t>
            </w:r>
          </w:p>
        </w:tc>
        <w:tc>
          <w:tcPr>
            <w:tcW w:type="dxa" w:w="5800"/>
          </w:tcPr>
          <w:p>
            <w:r>
              <w:t xml:space="preserve">65.20% (Jun 2026), no pledge</w:t>
            </w:r>
          </w:p>
        </w:tc>
      </w:tr>
      <w:tr>
        <w:tc>
          <w:tcPr>
            <w:tcW w:type="dxa" w:w="3200"/>
            <w:shd w:fill="F2F2F2" w:val="clear"/>
          </w:tcPr>
          <w:p>
            <w:r>
              <w:rPr>
                <w:b/>
                <w:bCs/>
              </w:rPr>
              <w:t xml:space="preserve">5yr Revenue CAGR</w:t>
            </w:r>
          </w:p>
        </w:tc>
        <w:tc>
          <w:tcPr>
            <w:tcW w:type="dxa" w:w="5800"/>
          </w:tcPr>
          <w:p>
            <w:r>
              <w:t xml:space="preserve">16%</w:t>
            </w:r>
          </w:p>
        </w:tc>
      </w:tr>
      <w:tr>
        <w:tc>
          <w:tcPr>
            <w:tcW w:type="dxa" w:w="3200"/>
            <w:shd w:fill="F2F2F2" w:val="clear"/>
          </w:tcPr>
          <w:p>
            <w:r>
              <w:rPr>
                <w:b/>
                <w:bCs/>
              </w:rPr>
              <w:t xml:space="preserve">India bead-wire market share</w:t>
            </w:r>
          </w:p>
        </w:tc>
        <w:tc>
          <w:tcPr>
            <w:tcW w:type="dxa" w:w="5800"/>
          </w:tcPr>
          <w:p>
            <w:r>
              <w:t xml:space="preserve">42-43% (largest domestic manufacturer)</w:t>
            </w:r>
          </w:p>
        </w:tc>
      </w:tr>
    </w:tbl>
    <w:p>
      <w:pPr>
        <w:spacing w:after="100"/>
      </w:pPr>
    </w:p>
    <w:p>
      <w:pPr>
        <w:spacing w:after="120"/>
      </w:pPr>
      <w:r>
        <w:t xml:space="preserve">Rajratan's underlying business quality is genuinely strong: 42-43% India bead-wire market share (recovered from 35-37% after FY23-24 pricing wars), the only bead-wire manufacturer in Thailand with a 30-year moat, and OEM qualification barriers (1-3yr domestic, 3-5yr global) that keep 85% of revenue with 5+yr customers. Promoter holding of 65.2% with no pledge signals strong alignment, and management has consistently preferred debt (at 7-7.5% cost) to equity dilution for capex where incremental ROCE clears the cost of capital. The weak spot has been margin: EBITDA margin fell from a cyclically elevated 20.3% in FY22 to 12.1% in FY26 on Chinese dumping into Southeast Asia, new domestic entrants, Chennai greenfield depreciation drag, and -- critically -- an unhedged wire-rod (steel) cost structure (~62% of revenue) that reprices quarterly against monthly purchases. Management guided a margin recovery every year from FY22 and missed every year until Q1 FY27, when EBITDA margin actually printed ~13.1% (EBITDA +35% YoY, PAT +70% YoY) after April 2026 price resets -- the first time the guided number and the delivered number have matched in four years. Chennai Phase-1 hit break-even and 85-90% utilisation ahead of schedule, and Phase-2 (doubling to 60,000 TPA) is underway. The stock has re-rated accordingly: automated valuation screens reclassified it from 'fair' to 'expensive' in late September 2026 as the P/E ran to ~29-31x. The business case is intact; the valuation case now requires the margin recovery to hold for more than one quarter.</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2026-10-01.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screener.in consolidated (financials, shareholding, valuation)</w:t>
      </w:r>
    </w:p>
    <w:p>
      <w:pPr>
        <w:pStyle w:val="ListParagraph"/>
        <w:numPr>
          <w:ilvl w:val="0"/>
          <w:numId w:val="1"/>
        </w:numPr>
        <w:spacing w:after="60"/>
      </w:pPr>
      <w:r>
        <w:t xml:space="preserve">Q4 FY26 earnings call highlights + multibagg.ai Q4 FY26 article</w:t>
      </w:r>
    </w:p>
    <w:p>
      <w:pPr>
        <w:pStyle w:val="ListParagraph"/>
        <w:numPr>
          <w:ilvl w:val="0"/>
          <w:numId w:val="1"/>
        </w:numPr>
        <w:spacing w:after="60"/>
      </w:pPr>
      <w:r>
        <w:t xml:space="preserve">Q1 FY27 results/concall coverage (Quartr/TradingView summary, scanx)</w:t>
      </w:r>
    </w:p>
    <w:p>
      <w:pPr>
        <w:pStyle w:val="ListParagraph"/>
        <w:numPr>
          <w:ilvl w:val="0"/>
          <w:numId w:val="1"/>
        </w:numPr>
        <w:spacing w:after="60"/>
      </w:pPr>
      <w:r>
        <w:t xml:space="preserve">investwithnikk.substack.com deep-dive (multi-year margin trend, moat, customer concentration, capital allocation)</w:t>
      </w:r>
    </w:p>
    <w:p>
      <w:pPr>
        <w:pStyle w:val="ListParagraph"/>
        <w:numPr>
          <w:ilvl w:val="0"/>
          <w:numId w:val="1"/>
        </w:numPr>
        <w:spacing w:after="60"/>
      </w:pPr>
      <w:r>
        <w:t xml:space="preserve">Recent news: marketsmojo valuation reclassification (late Sept 2026), business-standard price data</w:t>
      </w:r>
    </w:p>
    <w:p>
      <w:pPr>
        <w:spacing w:after="120"/>
      </w:pPr>
      <w:r>
        <w:rPr>
          <w:b/>
          <w:bCs/>
          <w:sz w:val="20"/>
          <w:szCs w:val="20"/>
        </w:rPr>
        <w:t xml:space="preserve">Annual-report findings (3-year view):</w:t>
      </w:r>
    </w:p>
    <w:p>
      <w:pPr>
        <w:pStyle w:val="ListParagraph"/>
        <w:numPr>
          <w:ilvl w:val="0"/>
          <w:numId w:val="1"/>
        </w:numPr>
        <w:spacing w:after="60"/>
      </w:pPr>
      <w:r>
        <w:t xml:space="preserve">EBITDA margin compressed from 20.3% (FY22) to 12.1% (FY26), an 820bps multi-year decline; EBITDA/tonne fell 48% to Rs10,469 (FY26) from Rs20,109 (FY22) -- attributed to Chinese dumping into SE Asia, domestic new entrants, and Chennai capex-cycle drag</w:t>
      </w:r>
    </w:p>
    <w:p>
      <w:pPr>
        <w:pStyle w:val="ListParagraph"/>
        <w:numPr>
          <w:ilvl w:val="0"/>
          <w:numId w:val="1"/>
        </w:numPr>
        <w:spacing w:after="60"/>
      </w:pPr>
      <w:r>
        <w:t xml:space="preserve">Chennai greenfield (~Rs300cr total) funded via debt/internal accruals, not equity dilution; management explicitly prefers debt (7-7.5% cost) where incremental ROCE clears cost of capital</w:t>
      </w:r>
    </w:p>
    <w:p>
      <w:pPr>
        <w:pStyle w:val="ListParagraph"/>
        <w:numPr>
          <w:ilvl w:val="0"/>
          <w:numId w:val="1"/>
        </w:numPr>
        <w:spacing w:after="60"/>
      </w:pPr>
      <w:r>
        <w:t xml:space="preserve">Debt Rs324cr as of Mar 2026, Debt/EBITDA ~2.3x, Debt/Equity ~0.51x -- moderate leverage, mostly capex-related rather than distress-driven</w:t>
      </w:r>
    </w:p>
    <w:p>
      <w:pPr>
        <w:pStyle w:val="ListParagraph"/>
        <w:numPr>
          <w:ilvl w:val="0"/>
          <w:numId w:val="1"/>
        </w:numPr>
        <w:spacing w:after="60"/>
      </w:pPr>
      <w:r>
        <w:t xml:space="preserve">Promoter holding 65.20% (Jun 2026), no pledge disclosed -- strong alignment versus many small-cap peers</w:t>
      </w:r>
    </w:p>
    <w:p>
      <w:pPr>
        <w:pStyle w:val="ListParagraph"/>
        <w:numPr>
          <w:ilvl w:val="0"/>
          <w:numId w:val="1"/>
        </w:numPr>
        <w:spacing w:after="60"/>
      </w:pPr>
      <w:r>
        <w:t xml:space="preserve">Company does not hedge wire-rod (steel) cost exposure (~62% of revenue) despite quarterly repricing against monthly purchases -- a structural, recurring margin-timing risk rather than a one-off</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FY26 full year: revenue Rs1,156.5cr (+24% YoY), volumes 133,615 MT (+18%), EBITDA margin 12.1% (down 150bps), PAT Rs70.11cr (+19%)</w:t>
      </w:r>
    </w:p>
    <w:p>
      <w:pPr>
        <w:pStyle w:val="ListParagraph"/>
        <w:numPr>
          <w:ilvl w:val="0"/>
          <w:numId w:val="1"/>
        </w:numPr>
        <w:spacing w:after="60"/>
      </w:pPr>
      <w:r>
        <w:t xml:space="preserve">Q4 FY26: EBITDA margin fell to 9.1% (down 420bps YoY) on a sudden Rs10,000/tonne wire-rod price spike (Jan-Mar 2026) plus higher energy costs</w:t>
      </w:r>
    </w:p>
    <w:p>
      <w:pPr>
        <w:pStyle w:val="ListParagraph"/>
        <w:numPr>
          <w:ilvl w:val="0"/>
          <w:numId w:val="1"/>
        </w:numPr>
        <w:spacing w:after="60"/>
      </w:pPr>
      <w:r>
        <w:t xml:space="preserve">April 2026 price resets implemented in response; Q1 FY27 delivered EBITDA Rs41.71cr (+35% YoY) at ~13.1% margin and PAT Rs22.96cr (+70% YoY) on 33,300 MT volume (+16% YoY) -- the first quarter in four years where guided margin recovery actually matched the delivered number</w:t>
      </w:r>
    </w:p>
    <w:p>
      <w:pPr>
        <w:pStyle w:val="ListParagraph"/>
        <w:numPr>
          <w:ilvl w:val="0"/>
          <w:numId w:val="1"/>
        </w:numPr>
        <w:spacing w:after="60"/>
      </w:pPr>
      <w:r>
        <w:t xml:space="preserve">Chennai utilisation ran at 85-90% on Phase-1 (30,000 TPA) through FY26, ahead of the original schedule</w:t>
      </w:r>
    </w:p>
    <w:p>
      <w:pPr>
        <w:spacing w:after="120"/>
      </w:pPr>
      <w:r>
        <w:rPr>
          <w:b/>
          <w:bCs/>
          <w:sz w:val="20"/>
          <w:szCs w:val="20"/>
        </w:rPr>
        <w:t xml:space="preserve">Exchange announcements (last 6 months):</w:t>
      </w:r>
    </w:p>
    <w:p>
      <w:pPr>
        <w:pStyle w:val="ListParagraph"/>
        <w:numPr>
          <w:ilvl w:val="0"/>
          <w:numId w:val="1"/>
        </w:numPr>
        <w:spacing w:after="60"/>
      </w:pPr>
      <w:r>
        <w:t xml:space="preserve">Q1 FY27 results (~Jul-Aug 2026): PAT +70% YoY to Rs22.96cr, record quarterly revenue, margin recovery to ~13.1% confirming FY27 guidance</w:t>
      </w:r>
    </w:p>
    <w:p>
      <w:pPr>
        <w:pStyle w:val="ListParagraph"/>
        <w:numPr>
          <w:ilvl w:val="0"/>
          <w:numId w:val="1"/>
        </w:numPr>
        <w:spacing w:after="60"/>
      </w:pPr>
      <w:r>
        <w:t xml:space="preserve">Chennai Phase-2 capacity doubling to 60,000 TPA targeted for Q2 FY27 (~Rs25cr incremental capex)</w:t>
      </w:r>
    </w:p>
    <w:p>
      <w:pPr>
        <w:pStyle w:val="ListParagraph"/>
        <w:numPr>
          <w:ilvl w:val="0"/>
          <w:numId w:val="1"/>
        </w:numPr>
        <w:spacing w:after="60"/>
      </w:pPr>
      <w:r>
        <w:t xml:space="preserve">Steel-cord pilot (Indore): ~Rs70cr total capex (~Rs50cr invested), 10,000 TPA, targeting 20% EBITDA margin and Rs150cr peak revenue potential; trials expected Q2 FY27</w:t>
      </w:r>
    </w:p>
    <w:p>
      <w:pPr>
        <w:pStyle w:val="ListParagraph"/>
        <w:numPr>
          <w:ilvl w:val="0"/>
          <w:numId w:val="1"/>
        </w:numPr>
        <w:spacing w:after="60"/>
      </w:pPr>
      <w:r>
        <w:t xml:space="preserve">Late Sept 2026: automated valuation screens (marketsmojo) reclassified the stock from 'fair' to 'expensive' as P/E ran to ~31x; stock gained ~4.1% over the week of 21-25 Sept 2026, outperforming a declining Sensex</w:t>
      </w:r>
    </w:p>
    <w:p>
      <w:pPr>
        <w:pStyle w:val="ListParagraph"/>
        <w:numPr>
          <w:ilvl w:val="0"/>
          <w:numId w:val="1"/>
        </w:numPr>
        <w:spacing w:after="60"/>
      </w:pPr>
      <w:r>
        <w:t xml:space="preserve">No further major capex expected this fiscal year beyond the steel-cord project per management commentary</w:t>
      </w:r>
    </w:p>
    <w:p>
      <w:pPr>
        <w:spacing w:after="120"/>
      </w:pPr>
      <w:r>
        <w:rPr>
          <w:b/>
          <w:bCs/>
          <w:sz w:val="20"/>
          <w:szCs w:val="20"/>
        </w:rPr>
        <w:t xml:space="preserve">Key new facts vs. the prior write-up:</w:t>
      </w:r>
    </w:p>
    <w:p>
      <w:pPr>
        <w:pStyle w:val="ListParagraph"/>
        <w:numPr>
          <w:ilvl w:val="0"/>
          <w:numId w:val="1"/>
        </w:numPr>
        <w:spacing w:after="60"/>
      </w:pPr>
      <w:r>
        <w:t xml:space="preserve">The FY22-FY26 margin story is one of repeated guided-but-missed recovery ('timeline of normalisation kept extending') -- Q1 FY27 is the first quarter the guided number and delivered number have actually matched</w:t>
      </w:r>
    </w:p>
    <w:p>
      <w:pPr>
        <w:pStyle w:val="ListParagraph"/>
        <w:numPr>
          <w:ilvl w:val="0"/>
          <w:numId w:val="1"/>
        </w:numPr>
        <w:spacing w:after="60"/>
      </w:pPr>
      <w:r>
        <w:t xml:space="preserve">Moat is verifiable and specific, not generic: 42-43% India share, sole-manufacturer status in Thailand, 1-3yr/3-5yr OEM qualification barriers, 85% revenue from 5+yr-tenure customers</w:t>
      </w:r>
    </w:p>
    <w:p>
      <w:pPr>
        <w:pStyle w:val="ListParagraph"/>
        <w:numPr>
          <w:ilvl w:val="0"/>
          <w:numId w:val="1"/>
        </w:numPr>
        <w:spacing w:after="60"/>
      </w:pPr>
      <w:r>
        <w:t xml:space="preserve">Company is structurally unhedged on its single largest cost input (wire rod, ~62% of revenue) -- this is a recurring, not one-off, risk mechanism, evidenced twice now (historical compression + the Q4 FY26 420bps single-quarter hit)</w:t>
      </w:r>
    </w:p>
    <w:p>
      <w:pPr>
        <w:pStyle w:val="ListParagraph"/>
        <w:numPr>
          <w:ilvl w:val="0"/>
          <w:numId w:val="1"/>
        </w:numPr>
        <w:spacing w:after="60"/>
      </w:pPr>
      <w:r>
        <w:t xml:space="preserve">Valuation has moved from 'fair' to 'expensive' in the space of the last few weeks as the market re-rated the stock on the Q1 FY27 margin print</w:t>
      </w:r>
    </w:p>
    <w:p>
      <w:pPr>
        <w:spacing w:after="120"/>
      </w:pPr>
      <w:r>
        <w:rPr>
          <w:b/>
          <w:bCs/>
          <w:sz w:val="20"/>
          <w:szCs w:val="20"/>
        </w:rPr>
        <w:t xml:space="preserve">Open questions / what to watch:</w:t>
      </w:r>
    </w:p>
    <w:p>
      <w:pPr>
        <w:pStyle w:val="ListParagraph"/>
        <w:numPr>
          <w:ilvl w:val="0"/>
          <w:numId w:val="1"/>
        </w:numPr>
        <w:spacing w:after="60"/>
      </w:pPr>
      <w:r>
        <w:t xml:space="preserve">Only one confirming quarter (Q1 FY27) exists for the margin-recovery thesis after four years of misses -- Q2/Q3 FY27 prints are needed before treating the recovery as durable</w:t>
      </w:r>
    </w:p>
    <w:p>
      <w:pPr>
        <w:pStyle w:val="ListParagraph"/>
        <w:numPr>
          <w:ilvl w:val="0"/>
          <w:numId w:val="1"/>
        </w:numPr>
        <w:spacing w:after="60"/>
      </w:pPr>
      <w:r>
        <w:t xml:space="preserve">Precise year-by-year ROCE figures (vs. the EBITDA-margin proxy used here) were not individually sourced for FY22-FY25; the track_record call below is a directional estimate from the margin trend, not a per-year ROCE figure</w:t>
      </w:r>
    </w:p>
    <w:p>
      <w:pPr>
        <w:pStyle w:val="ListParagraph"/>
        <w:numPr>
          <w:ilvl w:val="0"/>
          <w:numId w:val="1"/>
        </w:numPr>
        <w:spacing w:after="60"/>
      </w:pPr>
      <w:r>
        <w:t xml:space="preserve">Multi-quarter promoter shareholding trend was not independently verified (only a single Jun-2026 snapshot of 65.20% was sourced)</w:t>
      </w:r>
    </w:p>
    <w:p>
      <w:pPr>
        <w:pStyle w:val="ListParagraph"/>
        <w:numPr>
          <w:ilvl w:val="0"/>
          <w:numId w:val="1"/>
        </w:numPr>
        <w:spacing w:after="60"/>
      </w:pPr>
      <w:r>
        <w:t xml:space="preserve">No RPT (related-party transaction) detail was sourced this pass -- management_quality.rpt_trend is left 'unclear' rather than guessed</w:t>
      </w:r>
    </w:p>
    <w:p>
      <w:pPr>
        <w:pStyle w:val="ListParagraph"/>
        <w:numPr>
          <w:ilvl w:val="0"/>
          <w:numId w:val="1"/>
        </w:numPr>
        <w:spacing w:after="60"/>
      </w:pPr>
      <w:r>
        <w:t xml:space="preserve">Precise 3yr CFO/capex figures for FCF conversion were not sourced directly; the estimate here is directional given the Chennai + steel-cord capex cycle and export-driven working-capital stretch, not a computed filings figure</w:t>
      </w:r>
    </w:p>
    <w:p>
      <w:pPr>
        <w:spacing w:after="120" w:before="120"/>
      </w:pPr>
      <w:r>
        <w:rPr>
          <w:b/>
          <w:bCs/>
          <w:sz w:val="20"/>
          <w:szCs w:val="20"/>
        </w:rPr>
        <w:t xml:space="preserve">Conviction impact: </w:t>
      </w:r>
      <w:r>
        <w:rPr>
          <w:sz w:val="20"/>
          <w:szCs w:val="20"/>
        </w:rPr>
        <w:t xml:space="preserve">Medium -&gt; Medium-High. The moat (market share, Thailand monopoly, qualification barriers, customer tenure) is genuinely verified and promoter alignment is strong, and Q1 FY27 is the first quarter in four years where the guided margin recovery actually printed -- enough to move conviction up one notch. Capped at Medium-High rather than High because that is exactly one confirming quarter against a four-year pattern of misses, and the stock has already re-rated to a rich ~29-31x multiple pricing continued durability.</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EBITDA margin normalisation to 13-13.5%</w:t>
            </w:r>
          </w:p>
        </w:tc>
        <w:tc>
          <w:tcPr>
            <w:tcW w:type="dxa" w:w="2400"/>
          </w:tcPr>
          <w:p>
            <w:r>
              <w:rPr>
                <w:b w:val="false"/>
                <w:bCs w:val="false"/>
                <w:sz w:val="18"/>
                <w:szCs w:val="18"/>
              </w:rPr>
              <w:t xml:space="preserve">April 2026 price resets; Q1 FY27 actual ~13.1% (EBITDA Rs41.71cr on 33,300 MT)</w:t>
            </w:r>
          </w:p>
        </w:tc>
        <w:tc>
          <w:tcPr>
            <w:tcW w:type="dxa" w:w="900"/>
          </w:tcPr>
          <w:p>
            <w:r>
              <w:rPr>
                <w:b w:val="false"/>
                <w:bCs w:val="false"/>
                <w:sz w:val="18"/>
                <w:szCs w:val="18"/>
              </w:rPr>
              <w:t xml:space="preserve">FY27</w:t>
            </w:r>
          </w:p>
        </w:tc>
        <w:tc>
          <w:tcPr>
            <w:tcW w:type="dxa" w:w="1200"/>
          </w:tcPr>
          <w:p>
            <w:r>
              <w:rPr>
                <w:b w:val="false"/>
                <w:bCs w:val="false"/>
                <w:sz w:val="18"/>
                <w:szCs w:val="18"/>
              </w:rPr>
              <w:t xml:space="preserve">financial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Chennai Phase-2 capacity doubling to 60,000 TPA</w:t>
            </w:r>
          </w:p>
        </w:tc>
        <w:tc>
          <w:tcPr>
            <w:tcW w:type="dxa" w:w="2400"/>
          </w:tcPr>
          <w:p>
            <w:r>
              <w:rPr>
                <w:b w:val="false"/>
                <w:bCs w:val="false"/>
                <w:sz w:val="18"/>
                <w:szCs w:val="18"/>
              </w:rPr>
              <w:t xml:space="preserve">from 30,000 TPA Phase-1 (85-90% utilised), ~Rs25cr incremental capex</w:t>
            </w:r>
          </w:p>
        </w:tc>
        <w:tc>
          <w:tcPr>
            <w:tcW w:type="dxa" w:w="900"/>
          </w:tcPr>
          <w:p>
            <w:r>
              <w:rPr>
                <w:b w:val="false"/>
                <w:bCs w:val="false"/>
                <w:sz w:val="18"/>
                <w:szCs w:val="18"/>
              </w:rPr>
              <w:t xml:space="preserve">6M</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FY27 volume guidance</w:t>
            </w:r>
          </w:p>
        </w:tc>
        <w:tc>
          <w:tcPr>
            <w:tcW w:type="dxa" w:w="2400"/>
          </w:tcPr>
          <w:p>
            <w:r>
              <w:rPr>
                <w:b w:val="false"/>
                <w:bCs w:val="false"/>
                <w:sz w:val="18"/>
                <w:szCs w:val="18"/>
              </w:rPr>
              <w:t xml:space="preserve">~155,000 MT (+17-18% YoY): India Chennai ramping to 34-35k MT, Thailand 55-56k MT (capacity-constrained)</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Steel-cord pilot (Indore)</w:t>
            </w:r>
          </w:p>
        </w:tc>
        <w:tc>
          <w:tcPr>
            <w:tcW w:type="dxa" w:w="2400"/>
          </w:tcPr>
          <w:p>
            <w:r>
              <w:rPr>
                <w:b w:val="false"/>
                <w:bCs w:val="false"/>
                <w:sz w:val="18"/>
                <w:szCs w:val="18"/>
              </w:rPr>
              <w:t xml:space="preserve">10,000 TPA, Rs70cr total capex (Rs50cr invested), targeting 20% EBITDA margin, Rs150cr peak revenue potential; trials Q2 FY27</w:t>
            </w:r>
          </w:p>
        </w:tc>
        <w:tc>
          <w:tcPr>
            <w:tcW w:type="dxa" w:w="900"/>
          </w:tcPr>
          <w:p>
            <w:r>
              <w:rPr>
                <w:b w:val="false"/>
                <w:bCs w:val="false"/>
                <w:sz w:val="18"/>
                <w:szCs w:val="18"/>
              </w:rPr>
              <w:t xml:space="preserve">FY27</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r>
        <w:tc>
          <w:tcPr>
            <w:tcW w:type="dxa" w:w="1100"/>
          </w:tcPr>
          <w:p>
            <w:r>
              <w:rPr>
                <w:b w:val="false"/>
                <w:bCs w:val="false"/>
                <w:sz w:val="18"/>
                <w:szCs w:val="18"/>
              </w:rPr>
              <w:t xml:space="preserve">strategy</w:t>
            </w:r>
          </w:p>
        </w:tc>
        <w:tc>
          <w:tcPr>
            <w:tcW w:type="dxa" w:w="2600"/>
          </w:tcPr>
          <w:p>
            <w:r>
              <w:rPr>
                <w:b w:val="false"/>
                <w:bCs w:val="false"/>
                <w:sz w:val="18"/>
                <w:szCs w:val="18"/>
              </w:rPr>
              <w:t xml:space="preserve">PLI eligibility for Chennai (excluded from management's own projections)</w:t>
            </w:r>
          </w:p>
        </w:tc>
        <w:tc>
          <w:tcPr>
            <w:tcW w:type="dxa" w:w="2400"/>
          </w:tcPr>
          <w:p>
            <w:r>
              <w:rPr>
                <w:b w:val="false"/>
                <w:bCs w:val="false"/>
                <w:sz w:val="18"/>
                <w:szCs w:val="18"/>
              </w:rPr>
              <w:t xml:space="preserve">8% on incremental sales, Rs40-50cr potential over 5 years</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OEM qualification / order wins (India + Thailand + export)</w:t>
      </w:r>
      <w:r>
        <w:rPr>
          <w:color w:val="666666"/>
          <w:sz w:val="20"/>
          <w:szCs w:val="20"/>
        </w:rPr>
        <w:t xml:space="preserve"> → </w:t>
      </w:r>
      <w:r>
        <w:rPr>
          <w:b w:val="false"/>
          <w:bCs w:val="false"/>
          <w:sz w:val="20"/>
          <w:szCs w:val="20"/>
        </w:rPr>
        <w:t xml:space="preserve">capacity ramp (Chennai to 60k TPA)</w:t>
      </w:r>
      <w:r>
        <w:rPr>
          <w:color w:val="666666"/>
          <w:sz w:val="20"/>
          <w:szCs w:val="20"/>
        </w:rPr>
        <w:t xml:space="preserve"> → </w:t>
      </w:r>
      <w:r>
        <w:rPr>
          <w:b w:val="false"/>
          <w:bCs w:val="false"/>
          <w:sz w:val="20"/>
          <w:szCs w:val="20"/>
        </w:rPr>
        <w:t xml:space="preserve">volume growth</w:t>
      </w:r>
      <w:r>
        <w:rPr>
          <w:color w:val="666666"/>
          <w:sz w:val="20"/>
          <w:szCs w:val="20"/>
        </w:rPr>
        <w:t xml:space="preserve"> → </w:t>
      </w:r>
      <w:r>
        <w:rPr>
          <w:b w:val="false"/>
          <w:bCs w:val="false"/>
          <w:sz w:val="20"/>
          <w:szCs w:val="20"/>
        </w:rPr>
        <w:t xml:space="preserve">wire-rod cost pass-through (price resets)</w:t>
      </w:r>
      <w:r>
        <w:rPr>
          <w:color w:val="666666"/>
          <w:sz w:val="20"/>
          <w:szCs w:val="20"/>
        </w:rPr>
        <w:t xml:space="preserve"> → </w:t>
      </w:r>
      <w:r>
        <w:rPr>
          <w:b w:val="false"/>
          <w:bCs w:val="false"/>
          <w:sz w:val="20"/>
          <w:szCs w:val="20"/>
        </w:rPr>
        <w:t xml:space="preserve">EBITDA margin normalisation (13-13.5%)</w:t>
      </w:r>
      <w:r>
        <w:rPr>
          <w:color w:val="666666"/>
          <w:sz w:val="20"/>
          <w:szCs w:val="20"/>
        </w:rPr>
        <w:t xml:space="preserve"> → </w:t>
      </w:r>
      <w:r>
        <w:rPr>
          <w:b w:val="false"/>
          <w:bCs w:val="false"/>
          <w:sz w:val="20"/>
          <w:szCs w:val="20"/>
        </w:rPr>
        <w:t xml:space="preserve">PAT</w:t>
      </w:r>
    </w:p>
    <w:p>
      <w:pPr>
        <w:spacing w:after="120"/>
      </w:pPr>
      <w:r>
        <w:rPr>
          <w:color w:val="666666"/>
          <w:sz w:val="18"/>
          <w:szCs w:val="18"/>
        </w:rPr>
        <w:t xml:space="preserve">Bottleneck link: wire-rod (steel) cost pass-through -- unhedged, quarterly repricing vs monthly purchases.</w:t>
      </w:r>
    </w:p>
    <w:p>
      <w:pPr>
        <w:spacing w:after="120"/>
      </w:pPr>
      <w:r>
        <w:rPr>
          <w:color w:val="666666"/>
          <w:sz w:val="18"/>
          <w:szCs w:val="18"/>
        </w:rPr>
        <w:t xml:space="preserve">Operating leverage: yes -- Q1 FY27 EBITDA +35% / PAT +70% YoY on 16% volume growth confirms real operating leverage now that margin has normalised</w:t>
      </w:r>
    </w:p>
    <w:p>
      <w:pPr>
        <w:spacing w:after="120"/>
      </w:pPr>
      <w:r>
        <w:rPr>
          <w:color w:val="666666"/>
          <w:sz w:val="18"/>
          <w:szCs w:val="18"/>
        </w:rPr>
        <w:t xml:space="preserve">Evidenced: OEM qualification / order wins; capacity ramp (Chennai); volume growth; wire-rod cost pass-through (Q1 FY27 confirmed); EBITDA margin normalisation (Q1 FY27 confirmed). Still assumed: margin durability beyond the single confirming Q1 FY27 quarter.</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2026-10-01</w:t>
            </w:r>
          </w:p>
        </w:tc>
      </w:tr>
      <w:tr>
        <w:tc>
          <w:tcPr>
            <w:tcW w:type="dxa" w:w="3200"/>
            <w:shd w:fill="F2F2F2" w:val="clear"/>
          </w:tcPr>
          <w:p>
            <w:r>
              <w:rPr>
                <w:b/>
                <w:bCs/>
              </w:rPr>
              <w:t xml:space="preserve">Price / multiple</w:t>
            </w:r>
          </w:p>
        </w:tc>
        <w:tc>
          <w:tcPr>
            <w:tcW w:type="dxa" w:w="5800"/>
          </w:tcPr>
          <w:p>
            <w:r>
              <w:t xml:space="preserve">Rs 471 · 29.8x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~20%+ EPS CAGR FY26-28 needed to justify ~30x at a 24x steady-moat exit multiple</w:t>
            </w:r>
          </w:p>
        </w:tc>
      </w:tr>
      <w:tr>
        <w:tc>
          <w:tcPr>
            <w:tcW w:type="dxa" w:w="3200"/>
            <w:shd w:fill="F2F2F2" w:val="clear"/>
          </w:tcPr>
          <w:p>
            <w:r>
              <w:rPr>
                <w:b/>
                <w:bCs/>
              </w:rPr>
              <w:t xml:space="preserve">Our FY27</w:t>
            </w:r>
          </w:p>
        </w:tc>
        <w:tc>
          <w:tcPr>
            <w:tcW w:type="dxa" w:w="5800"/>
          </w:tcPr>
          <w:p>
            <w:r>
              <w:t xml:space="preserve">Volume ~155,000 MT (+17-18%), EBITDA margin stabilising 13-13.5% (Q1 FY27 actual ~13.1% already confirms), PAT growth strong off FY26's cyclically depressed base</w:t>
            </w:r>
          </w:p>
        </w:tc>
      </w:tr>
      <w:tr>
        <w:tc>
          <w:tcPr>
            <w:tcW w:type="dxa" w:w="3200"/>
            <w:shd w:fill="F2F2F2" w:val="clear"/>
          </w:tcPr>
          <w:p>
            <w:r>
              <w:rPr>
                <w:b/>
                <w:bCs/>
              </w:rPr>
              <w:t xml:space="preserve">Our FY28</w:t>
            </w:r>
          </w:p>
        </w:tc>
        <w:tc>
          <w:tcPr>
            <w:tcW w:type="dxa" w:w="5800"/>
          </w:tcPr>
          <w:p>
            <w:r>
              <w:t xml:space="preserve">Chennai fully ramped to 60,000 TPA, steel-cord pilot scaling if trials succeed, continued export growth (US/Europe/Japan); margin durability still unproven beyond 1-2 quarters given the FY22-26 history of repeated margin-guidance misses</w:t>
            </w:r>
          </w:p>
        </w:tc>
      </w:tr>
      <w:tr>
        <w:tc>
          <w:tcPr>
            <w:tcW w:type="dxa" w:w="3200"/>
            <w:shd w:fill="F2F2F2" w:val="clear"/>
          </w:tcPr>
          <w:p>
            <w:r>
              <w:rPr>
                <w:b/>
                <w:bCs/>
              </w:rPr>
              <w:t xml:space="preserve">Gap direction</w:t>
            </w:r>
          </w:p>
        </w:tc>
        <w:tc>
          <w:tcPr>
            <w:tcW w:type="dxa" w:w="5800"/>
          </w:tcPr>
          <w:p>
            <w:r>
              <w:t xml:space="preserve">partially-priced</w:t>
            </w:r>
          </w:p>
        </w:tc>
      </w:tr>
      <w:tr>
        <w:tc>
          <w:tcPr>
            <w:tcW w:type="dxa" w:w="3200"/>
            <w:shd w:fill="F2F2F2" w:val="clear"/>
          </w:tcPr>
          <w:p>
            <w:r>
              <w:rPr>
                <w:b/>
                <w:bCs/>
              </w:rPr>
              <w:t xml:space="preserve">Gap type</w:t>
            </w:r>
          </w:p>
        </w:tc>
        <w:tc>
          <w:tcPr>
            <w:tcW w:type="dxa" w:w="5800"/>
          </w:tcPr>
          <w:p>
            <w:r>
              <w:t xml:space="preserve">margin</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~30x trailing already prices in a durable margin recovery to ~13-13.5% and continued mid-teens volume growth; the steel-cord option and further export mix-up are incremental, not-yet-fully-priced upside, but FY22-26's repeated margin-guidance misses mean the recovery itself is not yet fully de-risked either</w:t>
            </w:r>
          </w:p>
        </w:tc>
      </w:tr>
      <w:tr>
        <w:tc>
          <w:tcPr>
            <w:tcW w:type="dxa" w:w="3200"/>
            <w:shd w:fill="F2F2F2" w:val="clear"/>
          </w:tcPr>
          <w:p>
            <w:r>
              <w:rPr>
                <w:b/>
                <w:bCs/>
              </w:rPr>
              <w:t xml:space="preserve">Evidence quality</w:t>
            </w:r>
          </w:p>
        </w:tc>
        <w:tc>
          <w:tcPr>
            <w:tcW w:type="dxa" w:w="5800"/>
          </w:tcPr>
          <w:p>
            <w:r>
              <w:t xml:space="preserve">strong</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Q2/Q3 FY27 prints confirming margin durability beyond the single Q1 FY27 confirming quarter, plus Chennai Phase-2 (60,000 TPA) full ramp and steel-cord pilot trial results</w:t>
      </w:r>
      <w:r>
        <w:rPr>
          <w:color w:val="666666"/>
          <w:sz w:val="18"/>
          <w:szCs w:val="18"/>
        </w:rPr>
        <w:t xml:space="preserve"> (window ~6M from 2026-10-01; dated; evidence high;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tyre bead-wire (steel wire reinforcement for tyres) + adjacent steel-cord</w:t>
            </w:r>
          </w:p>
        </w:tc>
      </w:tr>
      <w:tr>
        <w:tc>
          <w:tcPr>
            <w:tcW w:type="dxa" w:w="3200"/>
            <w:shd w:fill="F2F2F2" w:val="clear"/>
          </w:tcPr>
          <w:p>
            <w:r>
              <w:rPr>
                <w:b/>
                <w:bCs/>
              </w:rPr>
              <w:t xml:space="preserve">This company's position</w:t>
            </w:r>
          </w:p>
        </w:tc>
        <w:tc>
          <w:tcPr>
            <w:tcW w:type="dxa" w:w="5800"/>
          </w:tcPr>
          <w:p>
            <w:r>
              <w:t xml:space="preserve">largest India bead-wire manufacturer (42-43% share) + sole Thailand manufacturer + growing export/US-OEM supplier</w:t>
            </w:r>
          </w:p>
        </w:tc>
      </w:tr>
      <w:tr>
        <w:tc>
          <w:tcPr>
            <w:tcW w:type="dxa" w:w="3200"/>
            <w:shd w:fill="F2F2F2" w:val="clear"/>
          </w:tcPr>
          <w:p>
            <w:r>
              <w:rPr>
                <w:b/>
                <w:bCs/>
              </w:rPr>
              <w:t xml:space="preserve">Bottleneck node (pricing power)</w:t>
            </w:r>
          </w:p>
        </w:tc>
        <w:tc>
          <w:tcPr>
            <w:tcW w:type="dxa" w:w="5800"/>
          </w:tcPr>
          <w:p>
            <w:r>
              <w:t xml:space="preserve">wire-rod (steel) cost pass-through -- unhedged, quarterly repricing vs monthly purchases</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Bekaert (global bead-wire/steel-cord leader), Kiswire (Korea), Usha Martin (wire ropes/steel-cord adjacency)</w:t>
            </w:r>
          </w:p>
        </w:tc>
      </w:tr>
    </w:tbl>
    <w:p>
      <w:pPr>
        <w:spacing w:after="120"/>
      </w:pPr>
      <w:r>
        <w:rPr>
          <w:color w:val="666666"/>
          <w:sz w:val="18"/>
          <w:szCs w:val="18"/>
        </w:rPr>
        <w:t xml:space="preserve">42-43% India share + sole Thailand manufacturer + 1-3yr(domestic)/3-5yr(global) OEM qualification barriers + 85% revenue from 5+yr customers = a genuine switching-cost moat. But global bead-wire supply is expanding (Chinese dumping into SE Asia + Indian new entrants) even as Rajratan itself adds capacity (Chennai, steel cord) -- a margin-recovery bet riding a structural moat, not a scarcity story.</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w:r>
    </w:p>
    <w:p>
      <w:pPr>
        <w:spacing w:after="120"/>
      </w:pPr>
      <w:r>
        <w:rPr>
          <w:color w:val="666666"/>
          <w:sz w:val="18"/>
          <w:szCs w:val="18"/>
        </w:rPr>
        <w:t xml:space="preserve">Drivers: wire-rod (steel) cost pass-through lag -- unhedged, quarterly repricing vs monthly purchases; Chennai greenfield depreciation drag during ramp-up; Chinese dumping + domestic new entrants pricing pressure FY23-FY26; April 2026 price resets + volume/mix recovery.</w:t>
      </w:r>
    </w:p>
    <w:p>
      <w:pPr>
        <w:spacing w:after="120"/>
      </w:pPr>
      <w:r>
        <w:rPr>
          <w:color w:val="666666"/>
          <w:sz w:val="18"/>
          <w:szCs w:val="18"/>
        </w:rPr>
        <w:t xml:space="preserve">FY22's 20.3% margin was likely cyclically elevated (post-COVID tyre destocking / wire-rod pricing); FY26's 12.1% was itself depressed by commodity spikes + Chennai ramp drag. Q1 FY27's ~13.1% (matching the 13-13.5% guided range) looks like a more realistic through-cycle level than either extreme -- this is a recovery-off-trough situation, not a peak-margin risk.</w:t>
      </w:r>
    </w:p>
    <w:p>
      <w:pPr>
        <w:spacing w:after="60" w:before="120"/>
      </w:pPr>
      <w:r>
        <w:rPr>
          <w:b/>
          <w:bCs/>
          <w:sz w:val="20"/>
          <w:szCs w:val="20"/>
        </w:rPr>
        <w:t xml:space="preserve">Growth trajectory: </w:t>
      </w:r>
      <w:r>
        <w:rPr>
          <w:b w:val="false"/>
          <w:bCs w:val="false"/>
          <w:sz w:val="20"/>
          <w:szCs w:val="20"/>
        </w:rPr>
        <w:t xml:space="preserve">YoY growth rate is steady</w:t>
      </w:r>
    </w:p>
    <w:p>
      <w:pPr>
        <w:spacing w:after="120"/>
      </w:pPr>
      <w:r>
        <w:rPr>
          <w:color w:val="666666"/>
          <w:sz w:val="18"/>
          <w:szCs w:val="18"/>
        </w:rPr>
        <w:t xml:space="preserve">Consolidated volumes: FY26 full year +18% YoY (133,615 MT); Q1 FY27 +16% YoY (33,300 MT) -- volume growth steady in the high teens across periods. The real inflection is margin quality, not top-line: EBITDA +35% YoY and PAT +70% YoY in Q1 FY27 as the April 2026 price resets took hold.</w:t>
      </w:r>
    </w:p>
    <w:p>
      <w:pPr>
        <w:spacing w:after="120"/>
      </w:pPr>
      <w:r>
        <w:rPr>
          <w:color w:val="666666"/>
          <w:sz w:val="18"/>
          <w:szCs w:val="18"/>
        </w:rPr>
        <w:t xml:space="preserve">Reverse P/E: At ~29-31x trailing (reclassified 'expensive' by automated screens in late Sept 2026), the market is pricing continued double-digit EPS growth; Q1 FY27's 70% PAT growth is a strong print but is partly a bounce off a cyclically depressed FY26 base, not yet proof of a sustained higher-margin run-rate</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Capital allocation</w:t>
            </w:r>
          </w:p>
        </w:tc>
        <w:tc>
          <w:tcPr>
            <w:tcW w:type="dxa" w:w="5800"/>
          </w:tcPr>
          <w:p>
            <w:r>
              <w:t xml:space="preserve">Chennai (~Rs300cr) and steel-cord pilot (Rs70cr, Rs50cr invested) funded via debt/internal accruals rather than equity dilution; management explicitly prefers debt (7-7.5% cost) where incremental ROCE clears cost of capital (disciplined)</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Shareholder returns</w:t>
            </w:r>
          </w:p>
        </w:tc>
        <w:tc>
          <w:tcPr>
            <w:tcW w:type="dxa" w:w="5800"/>
          </w:tcPr>
          <w:p>
            <w:r>
              <w:t xml:space="preserve">consistent</w:t>
            </w:r>
          </w:p>
        </w:tc>
      </w:tr>
      <w:tr>
        <w:tc>
          <w:tcPr>
            <w:tcW w:type="dxa" w:w="3200"/>
            <w:shd w:fill="F2F2F2" w:val="clear"/>
          </w:tcPr>
          <w:p>
            <w:r>
              <w:rPr>
                <w:b/>
                <w:bCs/>
              </w:rPr>
              <w:t xml:space="preserve">Capability ladder / VAP</w:t>
            </w:r>
          </w:p>
        </w:tc>
        <w:tc>
          <w:tcPr>
            <w:tcW w:type="dxa" w:w="5800"/>
          </w:tcPr>
          <w:p>
            <w:r>
              <w:t xml:space="preserve">Explicit move up the value chain: bead-wire -&gt; steel-cord pilot (Indore, Rs70cr capex) positioned as a 'learning vehicle toward wire ropes'; Thailand strategy explicitly shifting from volume-chasing to premium multinational-OEM customer selection</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ROCE</w:t>
            </w:r>
          </w:p>
        </w:tc>
        <w:tc>
          <w:tcPr>
            <w:tcW w:type="dxa" w:w="5800"/>
          </w:tcPr>
          <w:p>
            <w:r>
              <w:t xml:space="preserve">13.2% (declining)</w:t>
            </w:r>
          </w:p>
        </w:tc>
      </w:tr>
      <w:tr>
        <w:tc>
          <w:tcPr>
            <w:tcW w:type="dxa" w:w="3200"/>
            <w:shd w:fill="F2F2F2" w:val="clear"/>
          </w:tcPr>
          <w:p>
            <w:r>
              <w:rPr>
                <w:b/>
                <w:bCs/>
              </w:rPr>
              <w:t xml:space="preserve">Leverage</w:t>
            </w:r>
          </w:p>
        </w:tc>
        <w:tc>
          <w:tcPr>
            <w:tcW w:type="dxa" w:w="5800"/>
          </w:tcPr>
          <w:p>
            <w:r>
              <w:t xml:space="preserve">Net debt/EBITDA 2.3x</w:t>
            </w:r>
          </w:p>
        </w:tc>
      </w:tr>
      <w:tr>
        <w:tc>
          <w:tcPr>
            <w:tcW w:type="dxa" w:w="3200"/>
            <w:shd w:fill="F2F2F2" w:val="clear"/>
          </w:tcPr>
          <w:p>
            <w:r>
              <w:rPr>
                <w:b/>
                <w:bCs/>
              </w:rPr>
              <w:t xml:space="preserve">FCF conversion</w:t>
            </w:r>
          </w:p>
        </w:tc>
        <w:tc>
          <w:tcPr>
            <w:tcW w:type="dxa" w:w="5800"/>
          </w:tcPr>
          <w:p>
            <w:r>
              <w:t xml:space="preserve">-5%</w:t>
            </w:r>
          </w:p>
        </w:tc>
      </w:tr>
      <w:tr>
        <w:tc>
          <w:tcPr>
            <w:tcW w:type="dxa" w:w="3200"/>
            <w:shd w:fill="F2F2F2" w:val="clear"/>
          </w:tcPr>
          <w:p>
            <w:r>
              <w:rPr>
                <w:b/>
                <w:bCs/>
              </w:rPr>
              <w:t xml:space="preserve">Margin trend</w:t>
            </w:r>
          </w:p>
        </w:tc>
        <w:tc>
          <w:tcPr>
            <w:tcW w:type="dxa" w:w="5800"/>
          </w:tcPr>
          <w:p>
            <w:r>
              <w:t xml:space="preserve">contracting</w:t>
            </w:r>
          </w:p>
        </w:tc>
      </w:tr>
      <w:tr>
        <w:tc>
          <w:tcPr>
            <w:tcW w:type="dxa" w:w="3200"/>
            <w:shd w:fill="F2F2F2" w:val="clear"/>
          </w:tcPr>
          <w:p>
            <w:r>
              <w:rPr>
                <w:b/>
                <w:bCs/>
              </w:rPr>
              <w:t xml:space="preserve">Capex efficiency</w:t>
            </w:r>
          </w:p>
        </w:tc>
        <w:tc>
          <w:tcPr>
            <w:tcW w:type="dxa" w:w="5800"/>
          </w:tcPr>
          <w:p>
            <w:r>
              <w:t xml:space="preserve">productive</w:t>
            </w:r>
          </w:p>
        </w:tc>
      </w:tr>
    </w:tbl>
    <w:p>
      <w:pPr>
        <w:spacing w:after="60" w:before="120"/>
      </w:pPr>
      <w:r>
        <w:rPr>
          <w:b/>
          <w:bCs/>
          <w:sz w:val="20"/>
          <w:szCs w:val="20"/>
        </w:rPr>
        <w:t xml:space="preserve">Track record (Coffee Can persistence check): </w:t>
      </w:r>
      <w:r>
        <w:rPr>
          <w:sz w:val="20"/>
          <w:szCs w:val="20"/>
        </w:rPr>
        <w:t xml:space="preserve">cleared revenue growth ≥10% AND ROCE ≥15% in 2 of the last 4 years (consistency_score 50)</w:t>
      </w:r>
    </w:p>
    <w:p>
      <w:pPr>
        <w:spacing w:after="120"/>
      </w:pPr>
      <w:r>
        <w:rPr>
          <w:color w:val="666666"/>
          <w:sz w:val="18"/>
          <w:szCs w:val="18"/>
        </w:rPr>
        <w:t xml:space="preserve">FY22-FY26: revenue/volume growth cleared 10% in most years (FY26 +24% revenue/+18% volume). ROCE was not individually sourced per fiscal year this pass -- estimated from the EBITDA-margin trend (20.3% FY22 -&gt; 12.1% FY26) that FY22-FY23 likely cleared the 15% ROCE bar (margins were far higher then) while FY25-FY26 (ROCE currently 13.2%, declining) did not. This is a directional estimate, not individually verified per-year ROCE data.</w:t>
      </w:r>
    </w:p>
    <w:p>
      <w:pPr>
        <w:pStyle w:val="Heading1"/>
        <w:spacing w:after="120" w:before="280"/>
      </w:pPr>
      <w:r>
        <w:t xml:space="preserve">Fundamentals-Gap Checks (shareholding · working capital · sector KPIs · scenario analysis)</w:t>
      </w:r>
    </w:p>
    <w:p>
      <w:pPr>
        <w:spacing w:after="120"/>
      </w:pPr>
      <w:r>
        <w:rPr>
          <w:i/>
          <w:iCs/>
          <w:color w:val="666666"/>
          <w:sz w:val="18"/>
          <w:szCs w:val="18"/>
        </w:rPr>
        <w:t xml:space="preserve">Extra fundamentals extracted from the same filings — informational only, not yet consumed by any scoring script.</w:t>
      </w:r>
    </w:p>
    <w:p>
      <w:pPr>
        <w:spacing w:after="120"/>
      </w:pPr>
      <w:r>
        <w:rPr>
          <w:b/>
          <w:bCs/>
          <w:sz w:val="20"/>
          <w:szCs w:val="20"/>
        </w:rPr>
        <w:t xml:space="preserve">Sector KPIs:</w:t>
      </w:r>
    </w:p>
    <w:p>
      <w:pPr>
        <w:pStyle w:val="ListParagraph"/>
        <w:numPr>
          <w:ilvl w:val="0"/>
          <w:numId w:val="1"/>
        </w:numPr>
        <w:spacing w:after="60"/>
      </w:pPr>
      <w:r>
        <w:t xml:space="preserve">India bead-wire market share: 42-43%, largest domestic manufacturer (recovered from 35-37% during FY23-24 pricing wars) (improving)</w:t>
      </w:r>
    </w:p>
    <w:p>
      <w:pPr>
        <w:pStyle w:val="ListParagraph"/>
        <w:numPr>
          <w:ilvl w:val="0"/>
          <w:numId w:val="1"/>
        </w:numPr>
        <w:spacing w:after="60"/>
      </w:pPr>
      <w:r>
        <w:t xml:space="preserve">Chennai plant utilisation: 85-90% on 30,000 TPA Phase-1, doubling to 60,000 TPA by ~Q2 FY27 (improving) — ahead of original schedule</w:t>
      </w:r>
    </w:p>
    <w:p>
      <w:pPr>
        <w:pStyle w:val="ListParagraph"/>
        <w:numPr>
          <w:ilvl w:val="0"/>
          <w:numId w:val="1"/>
        </w:numPr>
        <w:spacing w:after="60"/>
      </w:pPr>
      <w:r>
        <w:t xml:space="preserve">Consolidated sales volume growth: FY26 +18% YoY (133,615 MT); Q1 FY27 +16% YoY (33,300 MT); FY27 guidance ~155,000 MT (stable)</w:t>
      </w:r>
    </w:p>
    <w:p>
      <w:pPr>
        <w:pStyle w:val="ListParagraph"/>
        <w:numPr>
          <w:ilvl w:val="0"/>
          <w:numId w:val="1"/>
        </w:numPr>
        <w:spacing w:after="60"/>
      </w:pPr>
      <w:r>
        <w:t xml:space="preserve">EBITDA per tonne: Rs10,469/tonne FY26, down 48% from Rs20,109/tonne FY22 (improving) — recovering toward ~Rs12,500+/tonne as of Q1 FY27 on price resets</w:t>
      </w:r>
    </w:p>
    <w:p>
      <w:pPr>
        <w:spacing w:after="120"/>
      </w:pPr>
      <w:r>
        <w:rPr>
          <w:b/>
          <w:bCs/>
          <w:sz w:val="20"/>
          <w:szCs w:val="20"/>
        </w:rPr>
        <w:t xml:space="preserve">Scenario analysis (closest to: 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Bull</w:t>
            </w:r>
          </w:p>
        </w:tc>
        <w:tc>
          <w:tcPr>
            <w:tcW w:type="dxa" w:w="5800"/>
          </w:tcPr>
          <w:p>
            <w:r>
              <w:t xml:space="preserve">rev CAGR 22%, FY28 margin 14.5%, FY28 EPS 28.9, exit 28x, implied price 810 (+72% vs CMP)</w:t>
            </w:r>
          </w:p>
        </w:tc>
      </w:tr>
      <w:tr>
        <w:tc>
          <w:tcPr>
            <w:tcW w:type="dxa" w:w="3200"/>
            <w:shd w:fill="F2F2F2" w:val="clear"/>
          </w:tcPr>
          <w:p>
            <w:r>
              <w:rPr>
                <w:b/>
                <w:bCs/>
              </w:rPr>
              <w:t xml:space="preserve">Base</w:t>
            </w:r>
          </w:p>
        </w:tc>
        <w:tc>
          <w:tcPr>
            <w:tcW w:type="dxa" w:w="5800"/>
          </w:tcPr>
          <w:p>
            <w:r>
              <w:t xml:space="preserve">rev CAGR 17%, FY28 margin 13%, FY28 EPS 23.5, exit 24x, implied price 564 (+20% vs CMP)</w:t>
            </w:r>
          </w:p>
        </w:tc>
      </w:tr>
      <w:tr>
        <w:tc>
          <w:tcPr>
            <w:tcW w:type="dxa" w:w="3200"/>
            <w:shd w:fill="F2F2F2" w:val="clear"/>
          </w:tcPr>
          <w:p>
            <w:r>
              <w:rPr>
                <w:b/>
                <w:bCs/>
              </w:rPr>
              <w:t xml:space="preserve">Bear</w:t>
            </w:r>
          </w:p>
        </w:tc>
        <w:tc>
          <w:tcPr>
            <w:tcW w:type="dxa" w:w="5800"/>
          </w:tcPr>
          <w:p>
            <w:r>
              <w:t xml:space="preserve">rev CAGR 10%, FY28 margin 10%, FY28 EPS 13.8, exit 18x, implied price 249 (-47% vs CMP)</w:t>
            </w:r>
          </w:p>
        </w:tc>
      </w:tr>
    </w:tbl>
    <w:p>
      <w:pPr>
        <w:spacing w:after="120"/>
      </w:pPr>
      <w:r>
        <w:rPr>
          <w:color w:val="666666"/>
          <w:sz w:val="18"/>
          <w:szCs w:val="18"/>
        </w:rPr>
        <w:t xml:space="preserve">Bull requires the Q1 FY27 margin print to hold or improve through FY28 plus a successful steel-cord scale-up; bear assumes a repeat of the FY22-26 pattern where guided margin recovery fails to materialise, likely alongside a commodity spike. Current price sits closest to base -- the market has already re-rated to price a good chunk of the recovery, not the full bull case.</w:t>
      </w:r>
    </w:p>
    <w:p>
      <w:pPr>
        <w:pStyle w:val="Heading1"/>
        <w:spacing w:after="120" w:before="280"/>
      </w:pPr>
      <w:r>
        <w:t xml:space="preserve">Technical Read (Weekly / Monthly MACD + Bollinger Bands, or RSI/CCI/Williams %R proxy)</w:t>
      </w:r>
    </w:p>
    <w:p>
      <w:pPr>
        <w:spacing w:after="120"/>
      </w:pPr>
      <w:r>
        <w:t xml:space="preserve">Not independently assessed this pass (deep-dive pass 1 focused on primary filings/financials, not technicals).</w:t>
      </w:r>
    </w:p>
    <w:p>
      <w:pPr>
        <w:pStyle w:val="Heading1"/>
        <w:spacing w:after="120" w:before="280"/>
      </w:pPr>
      <w:r>
        <w:t xml:space="preserve">ValuePickr Community Signal</w:t>
      </w:r>
    </w:p>
    <w:p>
      <w:pPr>
        <w:spacing w:after="120"/>
      </w:pPr>
      <w:r>
        <w:t xml:space="preserve">Not independently assessed this pass (deep-dive pass 1 focused on primary filings, not the ValuePickr forum).</w:t>
      </w:r>
    </w:p>
    <w:p>
      <w:pPr>
        <w:pStyle w:val="Heading1"/>
        <w:spacing w:after="120" w:before="280"/>
      </w:pPr>
      <w:r>
        <w:t xml:space="preserve">BSE Corporate Actions / Other Red Flags</w:t>
      </w:r>
    </w:p>
    <w:p>
      <w:pPr>
        <w:spacing w:after="120"/>
      </w:pPr>
      <w:r>
        <w:t xml:space="preserve">See recent_announcements in the deep_dive block for 6-month exchange-filing coverage sourced this pass.</w:t>
      </w:r>
    </w:p>
    <w:p>
      <w:pPr>
        <w:pStyle w:val="Heading1"/>
        <w:spacing w:after="120" w:before="280"/>
      </w:pPr>
      <w:r>
        <w:t xml:space="preserve">Bull Case</w:t>
      </w:r>
    </w:p>
    <w:p>
      <w:pPr>
        <w:pStyle w:val="ListParagraph"/>
        <w:numPr>
          <w:ilvl w:val="0"/>
          <w:numId w:val="1"/>
        </w:numPr>
        <w:spacing w:after="60"/>
      </w:pPr>
      <w:r>
        <w:t xml:space="preserve">Verifiable moat, not a narrative one: 42-43% India market share, sole Thailand manufacturer, and multi-year OEM qualification barriers keep 85% of revenue with 5+yr-tenure customers (MRF, Apollo, Bridgestone, Michelin among them)</w:t>
      </w:r>
    </w:p>
    <w:p>
      <w:pPr>
        <w:pStyle w:val="ListParagraph"/>
        <w:numPr>
          <w:ilvl w:val="0"/>
          <w:numId w:val="1"/>
        </w:numPr>
        <w:spacing w:after="60"/>
      </w:pPr>
      <w:r>
        <w:t xml:space="preserve">Q1 FY27 is the first quarter in four years where guided margin recovery (13-13.5%) actually matched delivered margin (~13.1%), with EBITDA +35% YoY and PAT +70% YoY -- a real operating-leverage inflection if it holds</w:t>
      </w:r>
    </w:p>
    <w:p>
      <w:pPr>
        <w:pStyle w:val="ListParagraph"/>
        <w:numPr>
          <w:ilvl w:val="0"/>
          <w:numId w:val="1"/>
        </w:numPr>
        <w:spacing w:after="60"/>
      </w:pPr>
      <w:r>
        <w:t xml:space="preserve">Chennai Phase-1 broke even and hit 85-90% utilisation ahead of schedule; Phase-2 doubling to 60,000 TPA (Q2 FY27) plus export growth (US +30%, Europe +50%, Japan emerging) extend the volume runway without needing new moat to be built</w:t>
      </w:r>
    </w:p>
    <w:p>
      <w:pPr>
        <w:pStyle w:val="ListParagraph"/>
        <w:numPr>
          <w:ilvl w:val="0"/>
          <w:numId w:val="1"/>
        </w:numPr>
        <w:spacing w:after="60"/>
      </w:pPr>
      <w:r>
        <w:t xml:space="preserve">Promoter holding 65.2% with no pledge, debt-preferred (not equity-diluted) capital allocation, and a disciplined, capability-building (not scattergun) approach to the steel-cord adjacency</w:t>
      </w:r>
    </w:p>
    <w:p>
      <w:pPr>
        <w:pStyle w:val="ListParagraph"/>
        <w:numPr>
          <w:ilvl w:val="0"/>
          <w:numId w:val="1"/>
        </w:numPr>
        <w:spacing w:after="60"/>
      </w:pPr>
      <w:r>
        <w:t xml:space="preserve">PLI eligibility for Chennai (8% on incremental sales, Rs40-50cr over 5 years) is explicitly excluded from management's own projections -- real, unpriced optionality if it comes through</w:t>
      </w:r>
    </w:p>
    <w:p>
      <w:pPr>
        <w:pStyle w:val="Heading1"/>
        <w:spacing w:after="120" w:before="280"/>
      </w:pPr>
      <w:r>
        <w:t xml:space="preserve">Bear Case / Key Risks</w:t>
      </w:r>
    </w:p>
    <w:p>
      <w:pPr>
        <w:pStyle w:val="ListParagraph"/>
        <w:numPr>
          <w:ilvl w:val="0"/>
          <w:numId w:val="1"/>
        </w:numPr>
        <w:spacing w:after="60"/>
      </w:pPr>
      <w:r>
        <w:t xml:space="preserve">From FY22 to FY25, management guided margin recovery every year and missed every year as EBITDA margin fell from 20.3% to 12.1% -- Q1 FY27's single confirming print does not yet prove the multi-year pattern has broken</w:t>
      </w:r>
    </w:p>
    <w:p>
      <w:pPr>
        <w:pStyle w:val="ListParagraph"/>
        <w:numPr>
          <w:ilvl w:val="0"/>
          <w:numId w:val="1"/>
        </w:numPr>
        <w:spacing w:after="60"/>
      </w:pPr>
      <w:r>
        <w:t xml:space="preserve">Wire-rod (steel) cost, ~62% of revenue, is unhedged with quarterly repricing against monthly purchases -- the exact mechanism that caused Q4 FY26's 420bps margin compression in one quarter can recur on any commodity spike</w:t>
      </w:r>
    </w:p>
    <w:p>
      <w:pPr>
        <w:pStyle w:val="ListParagraph"/>
        <w:numPr>
          <w:ilvl w:val="0"/>
          <w:numId w:val="1"/>
        </w:numPr>
        <w:spacing w:after="60"/>
      </w:pPr>
      <w:r>
        <w:t xml:space="preserve">Valuation has re-rated to ~29-31x trailing, reclassified 'expensive' by automated screens in late Sept 2026 -- the market is now pricing continued margin durability on the strength of one quarter's data</w:t>
      </w:r>
    </w:p>
    <w:p>
      <w:pPr>
        <w:pStyle w:val="ListParagraph"/>
        <w:numPr>
          <w:ilvl w:val="0"/>
          <w:numId w:val="1"/>
        </w:numPr>
        <w:spacing w:after="60"/>
      </w:pPr>
      <w:r>
        <w:t xml:space="preserve">Global bead-wire capacity is expanding (Chinese dumping into Southeast Asia, new Indian entrants) even as Rajratan itself adds capacity (Chennai, steel cord) -- a crowded-supply risk that could cap the margin recovery regardless of Rajratan's own execution</w:t>
      </w:r>
    </w:p>
    <w:p>
      <w:pPr>
        <w:pStyle w:val="ListParagraph"/>
        <w:numPr>
          <w:ilvl w:val="0"/>
          <w:numId w:val="1"/>
        </w:numPr>
        <w:spacing w:after="60"/>
      </w:pPr>
      <w:r>
        <w:t xml:space="preserve">Export growth (particularly US) is stretching working capital via extended receivable cycles (30-60 days post-receipt); the steel-cord pilot's conversion from trial to scale is explicitly unproven</w:t>
      </w:r>
    </w:p>
    <w:p>
      <w:pPr>
        <w:pStyle w:val="Heading1"/>
        <w:spacing w:after="120" w:before="280"/>
      </w:pPr>
      <w:r>
        <w:t xml:space="preserve">Market-Cap Tier (informational — not a gate in this project)</w:t>
      </w:r>
    </w:p>
    <w:p>
      <w:pPr>
        <w:spacing w:after="120"/>
      </w:pPr>
      <w:r>
        <w:rPr>
          <w:b/>
          <w:bCs/>
        </w:rPr>
        <w:t xml:space="preserve">small-cap</w:t>
      </w:r>
    </w:p>
    <w:p>
      <w:pPr>
        <w:pStyle w:val="Heading1"/>
        <w:spacing w:after="120" w:before="280"/>
      </w:pPr>
      <w:r>
        <w:t xml:space="preserve">Thesis Fit</w:t>
      </w:r>
    </w:p>
    <w:p>
      <w:pPr>
        <w:spacing w:after="120"/>
      </w:pPr>
      <w:r>
        <w:rPr>
          <w:b/>
          <w:bCs/>
          <w:sz w:val="24"/>
          <w:szCs w:val="24"/>
        </w:rPr>
        <w:t xml:space="preserve">100x-in-10-years</w:t>
      </w:r>
    </w:p>
    <w:p>
      <w:pPr>
        <w:spacing w:after="120"/>
      </w:pPr>
      <w:r>
        <w:rPr>
          <w:color w:val="666666"/>
          <w:sz w:val="20"/>
          <w:szCs w:val="20"/>
        </w:rPr>
        <w:t xml:space="preserve">4-box gate — tailwind: yes · TAM: yes · moat: yes · valuation: no  (score 3 / 4)</w:t>
      </w:r>
    </w:p>
    <w:p>
      <w:pPr>
        <w:spacing w:after="120"/>
      </w:pPr>
      <w:r>
        <w:rPr>
          <w:i/>
          <w:iCs/>
          <w:color w:val="666666"/>
          <w:sz w:val="20"/>
          <w:szCs w:val="20"/>
        </w:rPr>
        <w:t xml:space="preserve">42-43% India share, sole Thailand manufacturer, and 1-3yr/3-5yr OEM qualification barriers with 85% revenue from 5+yr customers = a genuine, verified moat (yes). Capacity near-doubling (Chennai to 60,000 TPA, Thailand at 60,000 TPA, steel-cord option) into a growing tyre/export market = tailwind yes / tam yes for a sub-Rs2,500cr-mcap name. But the stock re-rated to ~29-31x trailing in late Sept 2026 (reclassified 'expensive') on the strength of one confirming margin quarter after four years of misses -- valuation=no. Score 3.0 supports 100x-in-10-years; conviction is set separately and moves up given the verified moat and the first confirming print, but is capped below High pending a second confirming quarter.</w:t>
      </w:r>
    </w:p>
    <w:p>
      <w:pPr>
        <w:pStyle w:val="Heading1"/>
        <w:spacing w:after="120" w:before="280"/>
      </w:pPr>
      <w:r>
        <w:t xml:space="preserve">Verdict</w:t>
      </w:r>
    </w:p>
    <w:p>
      <w:pPr>
        <w:spacing w:after="120"/>
      </w:pPr>
      <w:r>
        <w:rPr>
          <w:b/>
          <w:bCs/>
          <w:sz w:val="24"/>
          <w:szCs w:val="24"/>
        </w:rPr>
        <w:t xml:space="preserve">Real switching-cost moat finally showing a confirming margin print after 4 years of guided-but-missed recovery -- conviction moves up, but at a rich multiple</w:t>
      </w:r>
    </w:p>
    <w:p>
      <w:pPr>
        <w:pStyle w:val="ListParagraph"/>
        <w:numPr>
          <w:ilvl w:val="0"/>
          <w:numId w:val="1"/>
        </w:numPr>
        <w:spacing w:after="60"/>
      </w:pPr>
      <w:r>
        <w:t xml:space="preserve">Four-box score 3.0 (tailwind yes, tam yes, moat yes, valuation no) permits 100x-in-10-years; conviction set separately</w:t>
      </w:r>
    </w:p>
    <w:p>
      <w:pPr>
        <w:pStyle w:val="ListParagraph"/>
        <w:numPr>
          <w:ilvl w:val="0"/>
          <w:numId w:val="1"/>
        </w:numPr>
        <w:spacing w:after="60"/>
      </w:pPr>
      <w:r>
        <w:t xml:space="preserve">42-43% India bead-wire market share (largest domestic maker) + sole Thailand manufacturer + 1-3yr (domestic)/3-5yr (global) OEM qualification barriers + 85% revenue from 5+yr-tenure customers = a genuine, verifiable moat, not a narrative one</w:t>
      </w:r>
    </w:p>
    <w:p>
      <w:pPr>
        <w:pStyle w:val="ListParagraph"/>
        <w:numPr>
          <w:ilvl w:val="0"/>
          <w:numId w:val="1"/>
        </w:numPr>
        <w:spacing w:after="60"/>
      </w:pPr>
      <w:r>
        <w:t xml:space="preserve">EBITDA margin compressed from 20.3% (FY22) to 12.1% (FY26) on Chinese dumping, domestic new entrants and Chennai capex-cycle drag; management guided recovery annually from FY22 and missed every year until Q1 FY27 actually printed ~13.1% (EBITDA +35% YoY, PAT +70% YoY) matching guidance for the first time</w:t>
      </w:r>
    </w:p>
    <w:p>
      <w:pPr>
        <w:pStyle w:val="ListParagraph"/>
        <w:numPr>
          <w:ilvl w:val="0"/>
          <w:numId w:val="1"/>
        </w:numPr>
        <w:spacing w:after="60"/>
      </w:pPr>
      <w:r>
        <w:t xml:space="preserve">Promoter holding 65.2% with no pledge (Jun 2026) and a capital-allocation pattern that prefers debt over equity dilution where ROCE clears cost of capital -- strong alignment and discipline</w:t>
      </w:r>
    </w:p>
    <w:p>
      <w:pPr>
        <w:pStyle w:val="ListParagraph"/>
        <w:numPr>
          <w:ilvl w:val="0"/>
          <w:numId w:val="1"/>
        </w:numPr>
        <w:spacing w:after="60"/>
      </w:pPr>
      <w:r>
        <w:t xml:space="preserve">Chennai Phase-1 hit break-even and 85-90% utilisation ahead of schedule; Phase-2 doubling to 60,000 TPA underway; steel-cord pilot (Indore) is a small, explicitly-flagged capability bet, not core to the base case</w:t>
      </w:r>
    </w:p>
    <w:p>
      <w:pPr>
        <w:pStyle w:val="ListParagraph"/>
        <w:numPr>
          <w:ilvl w:val="0"/>
          <w:numId w:val="1"/>
        </w:numPr>
        <w:spacing w:after="60"/>
      </w:pPr>
      <w:r>
        <w:t xml:space="preserve">Valuation has re-rated to ~29-31x trailing (automated screens reclassified it 'expensive' in late Sept 2026) -- the market is now pricing continued margin durability that has been confirmed for exactly one quarter after four years of misses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2026-10-01T14:01:50.485Z</dcterms:created>
  <dcterms:modified xsi:type="dcterms:W3CDTF">2026-10-01T14:01:50.497Z</dcterms:modified>
</cp:coreProperties>
</file>

<file path=docProps/custom.xml><?xml version="1.0" encoding="utf-8"?>
<Properties xmlns="http://schemas.openxmlformats.org/officeDocument/2006/custom-properties" xmlns:vt="http://schemas.openxmlformats.org/officeDocument/2006/docPropsVTypes"/>
</file>