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Tamilnad Mercantile Bank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Decade-low GNPA, raised FY27 guidance, 9.6x P/E — re-rating case capped by legacy ownership-dispute overhang</w:t>
      </w:r>
    </w:p>
    <w:p>
      <w:pPr>
        <w:shd w:fill="FFF0F0" w:val="clear"/>
        <w:spacing w:after="200"/>
      </w:pPr>
      <w:r>
        <w:rPr>
          <w:b/>
          <w:bCs/>
          <w:color w:val="1E7A34"/>
          <w:sz w:val="22"/>
          <w:szCs w:val="22"/>
        </w:rPr>
        <w:t xml:space="preserve">RED FLAG TIER: CLEAR — </w:t>
      </w: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Tamilnad Mercantile Bank (TMB) — a 100+ year old private sector bank headquartered in Thoothukudi, Tamil Nadu, with 614 branches (73% in Tamil Nadu). Retail/MSME/gold-loan focused old private bank with no identified promoter group, a legacy of a decades-long ownership dispute among rival shareholder blocs. Listed via IPO in September 2022.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13,820 Cr (~Rs 872/share, 01-Oct-2026)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(trailing)</w:t>
            </w:r>
          </w:p>
        </w:tc>
        <w:tc>
          <w:tcPr>
            <w:tcW w:type="dxa" w:w="5800"/>
          </w:tcPr>
          <w:p>
            <w:r>
              <w:t xml:space="preserve">9.57x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P/B</w:t>
            </w:r>
          </w:p>
        </w:tc>
        <w:tc>
          <w:tcPr>
            <w:tcW w:type="dxa" w:w="5800"/>
          </w:tcPr>
          <w:p>
            <w:r>
              <w:t xml:space="preserve">1.31x (Book value Rs 667)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14% (FY26 full year), 15.93% (Q1 FY27 annualised)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NIM</w:t>
            </w:r>
          </w:p>
        </w:tc>
        <w:tc>
          <w:tcPr>
            <w:tcW w:type="dxa" w:w="5800"/>
          </w:tcPr>
          <w:p>
            <w:r>
              <w:t xml:space="preserve">4.29% (Q1 FY27), guided 'well past 4%' for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GNPA / NNPA</w:t>
            </w:r>
          </w:p>
        </w:tc>
        <w:tc>
          <w:tcPr>
            <w:tcW w:type="dxa" w:w="5800"/>
          </w:tcPr>
          <w:p>
            <w:r>
              <w:t xml:space="preserve">0.69% / 0.17% (Q1 FY27) — decade 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CRAR / Tier-1</w:t>
            </w:r>
          </w:p>
        </w:tc>
        <w:tc>
          <w:tcPr>
            <w:tcW w:type="dxa" w:w="5800"/>
          </w:tcPr>
          <w:p>
            <w:r>
              <w:t xml:space="preserve">32.33% / 31.30% (Q1 FY27), ~3x regulatory minimum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Advances growth</w:t>
            </w:r>
          </w:p>
        </w:tc>
        <w:tc>
          <w:tcPr>
            <w:tcW w:type="dxa" w:w="5800"/>
          </w:tcPr>
          <w:p>
            <w:r>
              <w:t xml:space="preserve">27% YoY (Q1 FY27); guided 21-22%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Credit rating</w:t>
            </w:r>
          </w:p>
        </w:tc>
        <w:tc>
          <w:tcPr>
            <w:tcW w:type="dxa" w:w="5800"/>
          </w:tcPr>
          <w:p>
            <w:r>
              <w:t xml:space="preserve">CRISIL A+/Stable (long-term), A1+ (short-term)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yield</w:t>
            </w:r>
          </w:p>
        </w:tc>
        <w:tc>
          <w:tcPr>
            <w:tcW w:type="dxa" w:w="5800"/>
          </w:tcPr>
          <w:p>
            <w:r>
              <w:t xml:space="preserve">1.43%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TMB's asset quality has improved every single quarter for three straight years (GNPA 1.56% -&gt; 0.69%, NNPA 0.66% -&gt; 0.17%, Jun-23 to Jun-26), and management raised FY27 guidance across advances (21-22%), deposits (18%), NIM ('well past 4%'), ROA ('well over 2%') and ROE (15%) after beating the prior ask in Q1 FY27 (PAT +35% YoY to Rs412cr, NIM 4.29%, ROE 15.93%). Capitalisation is exceptionally strong (CRAR 32.3%, Tier-1 31.3%, ~3x the regulatory minimum), funding 60 new branches in FY27 without equity dilution. Management itself flagged Q1 FY27's 39.10% cost-to-income ratio as unusually low and guided it back up to 46-47%, so some of the current beat looks like a peak quarter. Trades at 9.57x trailing P/E / 1.3x book versus a private-bank peer range of 14-20x P/E despite comparable-or-better ROE, largely because 37.6% of paid-up equity remains tied up in a decades-old ownership dispute between rival shareholder blocs — the bank has no identified promoter group as a result. FII ownership has roughly tripled since 2023 (2.06% -&gt; 6.73%) even as DII and public holdings have both trimmed.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2026-10-01.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screener.in/company/TMB (financials, shareholding pattern, documents)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results/concall coverage (business-standard.com, scanx.trade, cofacto.ai)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FY26 results coverage (hdfcsky.com, marketsmojo.com)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CRISIL rating rationale (crisil.com, Jun-2026)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MD/CEO/board-change coverage (business-standard.com)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ownership-dispute/litigation coverage (business-standard.com, whalesbook.com)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FY24-&gt;FY26 reserves grew Rs7,763cr -&gt; Rs8,850cr -&gt; Rs9,952cr on retained earnings, consistent with a low (~15%) dividend payout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Deposit base grew Rs49,515cr (FY24) -&gt; Rs53,689cr (FY25) -&gt; Rs61,712cr (FY26), +15% in FY26; borrowings minimal at Rs700cr vs Rs61,712cr deposits — deposit-funded, not wholesale-funded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segment mix (filing-sourced via screener): Retail Banking ~70% of revenue, Treasury ~20%, Corporate/Wholesale ~9%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CRISIL's FY26 rating note flags 72.3% of deposits below Rs1cr (granular, retail-funded) but an average renewal rate of only 54% — a liquidity-management watch 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3-year revenue CAGR is only 13% despite the recent PAT acceleration — most of FY24-26 growth has come from margin/asset-quality improvement, not balance-sheet scale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YoY growth sequence (9 quarters, oldest-&gt;newest): +10%, +11%, +6%, +15%, +6%, +5%, +14%, +28%, +35% — clear acceleration in the last three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GNPA fell every single quarter for three years straight: 1.56% (Jun-23) -&gt; 0.69% (Jun-26); NNPA 0.66% -&gt; 0.17%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NIM dipped to 3.84% in Q2 FY26 before rebounding to 4.29% in Q1 FY27 — not a smooth line, gold-price/mix-dependent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Cost-to-income fell to an unusually low 39.10% in Q1 FY27; management itself guided this back up to 46-47%, i.e. flagged the Q1 print as not representative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Jul-2026: won an appellate-tribunal appeal against an Enforcement Directorate order (FEMA-related share-transfer dispute originating from a 2014 show-cause notice); penalty reduced to Rs3.40cr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(Jul-2026): PAT +35% YoY to Rs412cr, advances +27% YoY, NIM 4.29%, GNPA 0.69%; FY27 guidance raised across advances/deposits/NIM/ROA/ROE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Sep-2026: new branches opened (Chinnampalayam, Vellalore, effective 30-Sep-2026); multiple investor/analyst meetings (Rainier Fund, Bellwether Capital) through Sep-2026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1-Oct-2026: Q2 FY27 business update filed — total business Rs1,30,261cr, advances Rs60,715cr, deposits Rs69,546cr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Jun-2026: CRISIL reaffirmed Crisil A+/Stable (long-term) / Crisil A1+ (short-term)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identified promoter — FII stake tripled from 2.06% to 6.73% (Sep-23 to Jun-26) while DII/public both trimmed, i.e. genuine institutional accumulation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37.6% of equity is still tied up in decades-old ownership litigation between two shareholder blocs — the single biggest overhang on the valuation discount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CRAR 32.3%/Tier-1 31.3% is roughly 3x the regulatory minimum — ample room to fund growth without a capital raise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 loans are already ~47% of advances against an informal internal 50% cap — limited further room on that specific growth lever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Timeline/terms for full resolution of the 37.6%-of-equity ownership dispute (Madras HC board-control litigation) — a clean resolution could be a re-rating catalyst; an adverse one could reopen the earlier IPO-pricing controversy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disclosures and detailed MD&amp;A capex/segment detail from the FY25/FY26 annual report were not independently verified beyond screener/news summaries this pass — a direct annual-report read is a good next-pass follow-up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Q1 FY27's NIM/cost-to-income beat is gold-price-cycle-dependent vs structural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Medium-High. Three years of steadily improving asset quality culminating in a decade-low GNPA, raised FY27 guidance across every metric after beating the prior ask, and a 32%+ CRAR funding branch expansion without dilution outweigh the TN-concentration and legacy-litigation overhang; held back from High by the unresolved 37.6%-of-equity ownership dispute and a cost-to-income/NIM print management itself called unusually good.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NIM guided 'well past 4%' for FY27, up from a prior 3.90% ask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NIM printed 4.29%, up 45bps YoY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GNPA expected to remain below 1% throughout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GNPA already 0.69-0.73% for the last two reported quarters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Gold-loan strategy pivot from price to volume — sub-10-minute disbursal, informal 50% portfolio cap (currently ~47%)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Advances growth guidance raised to 21-22% FY27 (from prior lower ask)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deposit growth 18%, total business growth 20%, CASA growth 17-18%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 new branches planned FY27 (vs 44 in FY26), Rs280cr IT/cybersecurity budget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 branches, Rs280cr IT capex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advances growth (21-22% guided, 27% printed Q1 FY27)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NIM expansion (4.29% Q1 FY27, guided &gt;4%)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(cost-to-income guided 46-47%, printed 39.10% in Q1)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GNPA stays &lt;1% (low credit cost)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ROA / ROE (ROE guided 15%, printed 15.93% Q1)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gold-loan portfolio nearing its informal ~50% cap, limiting the easiest high-yield growth lever as the book matures.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cost-to-income guided down from 46-47% toward Q1's unusually low 39% print as branch-network scale builds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NIM expansion; GNPA decline; advances growth. Still assumed: cost-to-income normalising at the guided level; ROA/ROE sustaining at the raised guidance.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2026-10-01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872 · 9.57x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Private-bank peers cluster at 14-20x P/E; TMB at 9.57x needs only a high-single-digit EPS CAGR to be 'fair' against a conservative 11-12x compounder-bank exit multiple, well below the 20%+ earnings growth management's raised guidance implies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Advances +21-22%, NIM sustaining &gt;4%, GNPA &lt;1%, PAT growth ~25-30% (Q1 FY27 already printed +35%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A second year of branch-network scaling (104 new branches added FY26-27 combined) plus MSME/vehicle-loan cross-sell sustains NIM-protected growth; ROE holding ~15-16%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No formal broker consensus; TMB's 9.57x trailing P/E vs a private-bank peer range of 14-20x, despite a comparable-or-better 14-16% ROE, implies the market is pricing the legacy ownership-dispute/TN-concentration overhang rather than current fundamentals (GNPA at a decade low, CRAR 32%, guided 21-22% advances growth)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 FY27 results/concall confirming whether NIM holds &gt;4% and cost-to-income normalises as guided (Q2 FY27 business update already printed: total business Rs1,30,261cr, advances Rs60,715cr, deposits Rs69,546cr)</w:t>
      </w:r>
      <w:r>
        <w:rPr>
          <w:color w:val="666666"/>
          <w:sz w:val="18"/>
          <w:szCs w:val="18"/>
        </w:rPr>
        <w:t xml:space="preserve"> (window ~1M from 2026-10-01;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regional Tamil Nadu-focused retail/MSME/gold-loan private banking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100-year-old Thoothukudi-headquartered old private bank, 614 branches (73% in Tamil Nadu), long-tenured retail/MSME/gold-loan franchise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branch-network depth outside Tamil Nadu and CASA mobilisation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City Union Bank, Karur Vysya Bank, South Indian Bank, DCB Bank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Tamil Nadu concentration (81% of advances, 80% of deposits) is simultaneously the moat (relationship-banking trust in its home market) and the TAM constraint; peers with pan-India branch networks can out-scale it faster.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asset-quality cycle turn (GNPA 1.56% -&gt; 0.69% over 3 years, falling credit costs); gold-loan high-yield mix (~47% of book) amid elevated gold prices; cost-to-income improvement from branch-network maturation.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Management itself flagged Q1 FY27's 39.10% cost-to-income ratio as unusual and guided it back up to 46-47%; GNPA at a decade-low 0.69-0.73% also leaves less room for further credit-cost tailwind. Normalised ROA is closer to the 'well over 2%' guide, below Q1's print.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PAT growth oldest-&gt;newest (Jun-24 to Jun-26, 9 quarters): +10%, +11%, +6%, +15%, +6%, +5%, +14%, +28%, +35% — a clear acceleration in the last three quarters as the asset-quality cycle turned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9.57x trailing P/E, TMB needs only a mid-single-digit EPS CAGR to be 'fairly priced' against a conservative 11-12x compounder-bank exit multiple; actual trailing growth is running 28-35% YoY, well ahead of what the multiple assumes — the rate-of-change favours a re-rating if sustained.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Reinvests retained earnings into branch-network expansion (60 new branches FY27) and IT/digital infrastructure (Rs280cr budget); no unrelated diversification; dividend payout kept low (~15% of profits), consistent with growth-stage capital retention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pivot in the gold-loan book from a pure price/rate play to a volume + speed model (sub-10-minute disbursal) — a service/execution upgrade, not just rate competition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5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FY22-FY26 checked (revenue growth &gt;=10% AND ROE &gt;=15%, using ROE as the bank-sector equivalent of ROCE): FY22 ROE 17% but revenue +6.2% (fails growth); FY23 ROE 17% but revenue +6.4% (fails growth); FY24 revenue +18.8% but ROE 14% (fails ROE); FY25 revenue +9.1% and ROE 14% (fails both, narrowly); FY26 revenue +10.0% (passes, narrowly) but ROE 14% (fails). 0 of 5 years cleared both simultaneously — revenue growth and ROE moved in offsetting cycles. FY26-27's acceleration (Q1 FY27 PAT +35% YoY, ROE 15.93%, GNPA at a decade low) is the first sign of both metrics moving together — a potential inflection, not yet a proven multi-year trend.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8.69% (rising)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Sep2025, Dec2025, Mar2026, Jun2026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TMB has no identified promoter group — a legacy outcome of the decades-long ownership dispute among rival shareholder blocs (RBI-overseen, professionally-run structure); promoter_pct/pledge_pct fields don't apply in the usual sense. FII stake has roughly tripled from 2.06% (Sep-23) to 6.73% (Jun-26) while DII and public holdings have both trimmed — net institutionalisation, a positive signal distinct from a typical promoter-pledge 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NIM: 4.29% (Q1 FY27), up from 3.84% (Q2 FY26); guided 'well past 4%' for FY27 (improving)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GNPA / NNPA: 0.69% / 0.17% (Q1 FY27), down from 1.56%/0.66% three years ago — decade low (improving)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CASA growth: Rs16,852cr, +16.94% YoY (Q1 FY27), guided 17-18% FY27 (stable) — -2.95% QoQ in Q1 FY27; guided growth intact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CRAR / Tier-1: 32.33% / 31.30% (Q1 FY27) vs a regulatory minimum of ~11.5%/9.5% (stable)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bear):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30%, FY28 margin —, FY28 EPS 143, exit 16x, implied price 2288 (+162%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20%, FY28 margin —, FY28 EPS 121, exit 12x, implied price 1452 (+67%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8%, FY28 margin —, FY28 EPS 98, exit 8x, implied price 784 (-10%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Bull requires the Q1 FY27 PAT/NIM trajectory (+35% YoY, NIM 4.29%) to persist through FY28 alongside a re-rating as the legacy ownership dispute recedes; bear assumes gold-loan/NIM tailwinds normalise and GNPA has no further room to improve from its decade low, keeping the stock at today's discount multiple. fy28_margin_pct is left null — 'margin' isn't a single clean figure for a bank; NIM/ROE are tracked separately above.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(owned by the technical_cache.json pipeline).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read this pass — this deep-dive is primary-document-first (annual reports, concalls, exchange filings), not a ValuePickr forum read.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See deep_dive.recent_announcements above for the 6-month BSE/NSE filing summary; no separate red-flag corporate actions (pledge creation, auditor resignation, forensic order) found this pass beyond the legacy ownership-dispute litigation noted in bear_case.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Multi-year asset-quality cycle turn: GNPA down from 1.56% to 0.69% over three years, a decade low, with provision coverage 96% including write-offs and collateral coverage 145%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NIM expanded to 4.29% (Q1 FY27) on gold-loan high-yield mix and CASA growth; management raised FY27 guidance across advances, deposits, NIM, ROA and ROE after beating prior targets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Extremely strong capitalisation (CRAR 32.3%, Tier-1 31.3%) funds 60 new branches in FY27 without equity dilution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at 9.57x trailing P/E / 1.3x book vs a private-bank peer range of 14-20x P/E despite comparable-or-better ROE — re-rating optionality as the legacy ownership dispute resolves favourably (the bank won its Enforcement Directorate appeal in July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FII ownership has tripled since 2023 (2.06% -&gt; 6.73%), a vote of institutional confidence even though the bank has no identified promoter group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37.6% of paid-up equity remains tied up in a decades-long ownership dispute between rival shareholder blocs (Pioneer Asia/Annamalai faction vs an FII-aligned group); the litigation overhang likely explains much of the valuation discount and is not fully resolved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81% of advances and 80% of deposits are concentrated in Tamil Nadu — geographic concentration risk and a structural cap on scale versus pan-India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itself flagged Q1 FY27's 39.10% cost-to-income ratio as unusually low and guided it back up to 46-47% — part of the current earnings beat looks like a peak quarter, not the new run-rate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 loans are already ~47% of advances against an informal 50% internal cap; growth could decelerate sharply in H2 FY27 as gold prices stabilise near $4,000/oz, removing a key NIM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CAGR is a modest ~10% (screener-flagged); the recent acceleration is only 2-3 quarters old and unproven over a full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CEO (since Aug-2024) and CFO (since Mar-2025) — limited multi-year track record for the current leadership team specifically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13,820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Decade-low GNPA (0.69%), CRAR 32.3%, NIM 4.29%, FY27 guidance raised across every metric. Moat weak: 100-year-old TN relationship-banking franchise but no structural product differentiation vs larger private banks, replicable branch-based model. Valuation yes at 9.57x P/E vs 14-20x peer range despite comparable ROE — but the discount is largely explained by the 37.6%-of-equity legacy ownership dispute and 81% TN concentration, not pure market inefficiency. Score 3.5 clears the four-box bar, but TMB is a Rs13,820cr-cap deposit-taking bank with ~14-16% ROE economics: even a full re-rating to peer multiples (14-20x) plus 20%+ earnings CAGR implies a high-single-digit to low-double-digit multiple over a decade, not a literal 10x-in-2-3-years or 100x-in-10-years outcome — a return-magnitude mismatch (the 'Nesco logic'), not a thesis-quality problem, hence analyst_override to thesis_fit: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Decade-low asset quality and raised guidance at a peer-discount multiple, but legacy ownership litigation caps the return-magnitude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3.5/4 (tailwind yes, TAM yes, moat weak, valuation yes) clears the bar for a return-magnitude label, but at a Rs13,820cr market cap with bank-like ROE economics, neither 10x-in-2-3-years nor 100x-in-10-years is a realistic outcome even in the bull scenario — analyst override to 'neither' (size/return-magnitude mismatch, not a thesis-quality problem; see four_box.note)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GNPA at a decade-low 0.69%, CRAR 32.3%, NIM 4.29%, and FY27 guidance raised across every metric after beating the prior ask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raised to Medium-High on primary-document strength, capped below High by the unresolved 37.6%-of-equity ownership dispute and Tamil Nadu concentration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2026-10-01T14:02:05.610Z</dcterms:created>
  <dcterms:modified xsi:type="dcterms:W3CDTF">2026-10-01T14:02:05.612Z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