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Taurian MPS , Crushing opportunities?</w:t>
      </w:r>
    </w:p>
    <w:p>
      <w:pPr>
        <w:pBdr>
          <w:bottom w:val="single" w:color="CCCCCC" w:sz="6" w:space="8"/>
        </w:pBdr>
        <w:spacing w:after="200"/>
      </w:pPr>
      <w:r>
        <w:rPr>
          <w:i/>
          <w:iCs/>
          <w:color w:val="666666"/>
          <w:sz w:val="22"/>
          <w:szCs w:val="22"/>
        </w:rPr>
        <w:t xml:space="preserve">Small domestic crushing/screening-equipment maker riding India's infra-aggregates capex cycle (revenue Rs11cr-&gt;100cr in 3 years), but a HIGH CAUTION governance/cash-flow flag -- statutory auditor resigned Apr-2026, FY26 operating cash flow -Rs37cr, two dilutive capital raises within a year -- caps conviction at Low-Medium despite the genuine growth story.</w:t>
      </w:r>
    </w:p>
    <w:p>
      <w:pPr>
        <w:shd w:fill="FFF0F0" w:val="clear"/>
        <w:spacing w:after="200"/>
      </w:pPr>
      <w:r>
        <w:rPr>
          <w:b/>
          <w:bCs/>
          <w:color w:val="B8860B"/>
          <w:sz w:val="22"/>
          <w:szCs w:val="22"/>
        </w:rPr>
        <w:t xml:space="preserve">RED FLAG TIER: HIGH CAUTION — </w:t>
      </w:r>
      <w:r>
        <w:rPr>
          <w:sz w:val="20"/>
          <w:szCs w:val="20"/>
        </w:rPr>
        <w:t xml:space="preserve">Statutory auditor (BDG &amp; CO LLP) resigned effective 14-Apr-2026, ~7 months post-SME-IPO, replaced via casual vacancy (Jay Gupta &amp; Associates); concurrent FY26 operating cash flow of -Rs37cr (working-capital days 108-&gt;227, debtor days 181) funded by two dilutive capital raises within a year (IPO Sep-2025 + preferential allotment/warrants Aug-2026, promoter stake 89%-&gt;63.8%); young/thin promoter-management team with limited investor communication.</w:t>
      </w:r>
    </w:p>
    <w:p>
      <w:pPr>
        <w:pStyle w:val="Heading1"/>
        <w:spacing w:after="120" w:before="280"/>
      </w:pPr>
      <w:r>
        <w:t xml:space="preserve">Business Overview</w:t>
      </w:r>
    </w:p>
    <w:p>
      <w:pPr>
        <w:spacing w:after="120"/>
      </w:pPr>
      <w:r>
        <w:t xml:space="preserve">Taurian MPS (incorporated 2010, NSE SME-listed Sep-2025) manufactures crushing, screening and washing equipment for mining, construction and waste-recycling/water-treatment applications from a single Roorkee facility (100% in-house manufacturing, current capacity supports ~Rs250cr revenue). Customers include L&amp;T, Jindal Stainless, Tata and Global Atomic; the company sells through 25+ dealers across 20+ countries, recently adding Kenya, Ghana, Thailand and Nepal. ~10% of revenue comes from spares/after-sales. Led by Managing Director Yashvardhan Bajla (24) and his mother as co-promoter.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523 Cr</w:t>
            </w:r>
          </w:p>
        </w:tc>
      </w:tr>
      <w:tr>
        <w:tc>
          <w:tcPr>
            <w:tcW w:type="dxa" w:w="3200"/>
            <w:shd w:fill="F2F2F2" w:val="clear"/>
          </w:tcPr>
          <w:p>
            <w:r>
              <w:rPr>
                <w:b/>
                <w:bCs/>
              </w:rPr>
              <w:t xml:space="preserve">Price / P/E</w:t>
            </w:r>
          </w:p>
        </w:tc>
        <w:tc>
          <w:tcPr>
            <w:tcW w:type="dxa" w:w="5800"/>
          </w:tcPr>
          <w:p>
            <w:r>
              <w:t xml:space="preserve">Rs 588 / 32.2x</w:t>
            </w:r>
          </w:p>
        </w:tc>
      </w:tr>
      <w:tr>
        <w:tc>
          <w:tcPr>
            <w:tcW w:type="dxa" w:w="3200"/>
            <w:shd w:fill="F2F2F2" w:val="clear"/>
          </w:tcPr>
          <w:p>
            <w:r>
              <w:rPr>
                <w:b/>
                <w:bCs/>
              </w:rPr>
              <w:t xml:space="preserve">ROCE / ROE</w:t>
            </w:r>
          </w:p>
        </w:tc>
        <w:tc>
          <w:tcPr>
            <w:tcW w:type="dxa" w:w="5800"/>
          </w:tcPr>
          <w:p>
            <w:r>
              <w:t xml:space="preserve">FY25 30% / FY26 ROE 27% (FY26 ROCE not cleanly disclosed)</w:t>
            </w:r>
          </w:p>
        </w:tc>
      </w:tr>
      <w:tr>
        <w:tc>
          <w:tcPr>
            <w:tcW w:type="dxa" w:w="3200"/>
            <w:shd w:fill="F2F2F2" w:val="clear"/>
          </w:tcPr>
          <w:p>
            <w:r>
              <w:rPr>
                <w:b/>
                <w:bCs/>
              </w:rPr>
              <w:t xml:space="preserve">Revenue growth</w:t>
            </w:r>
          </w:p>
        </w:tc>
        <w:tc>
          <w:tcPr>
            <w:tcW w:type="dxa" w:w="5800"/>
          </w:tcPr>
          <w:p>
            <w:r>
              <w:t xml:space="preserve">FY24 +245% (Rs11cr-&gt;38cr), FY25 +95% (-&gt;74cr), FY26 +35% (-&gt;~100cr) -- decelerating</w:t>
            </w:r>
          </w:p>
        </w:tc>
      </w:tr>
      <w:tr>
        <w:tc>
          <w:tcPr>
            <w:tcW w:type="dxa" w:w="3200"/>
            <w:shd w:fill="F2F2F2" w:val="clear"/>
          </w:tcPr>
          <w:p>
            <w:r>
              <w:rPr>
                <w:b/>
                <w:bCs/>
              </w:rPr>
              <w:t xml:space="preserve">Net profit</w:t>
            </w:r>
          </w:p>
        </w:tc>
        <w:tc>
          <w:tcPr>
            <w:tcW w:type="dxa" w:w="5800"/>
          </w:tcPr>
          <w:p>
            <w:r>
              <w:t xml:space="preserve">FY24 Rs11cr, FY25 Rs9cr (declined YoY), FY26 Rs16cr</w:t>
            </w:r>
          </w:p>
        </w:tc>
      </w:tr>
      <w:tr>
        <w:tc>
          <w:tcPr>
            <w:tcW w:type="dxa" w:w="3200"/>
            <w:shd w:fill="F2F2F2" w:val="clear"/>
          </w:tcPr>
          <w:p>
            <w:r>
              <w:rPr>
                <w:b/>
                <w:bCs/>
              </w:rPr>
              <w:t xml:space="preserve">Borrowings (FY26)</w:t>
            </w:r>
          </w:p>
        </w:tc>
        <w:tc>
          <w:tcPr>
            <w:tcW w:type="dxa" w:w="5800"/>
          </w:tcPr>
          <w:p>
            <w:r>
              <w:t xml:space="preserve">Rs 25 Cr (low; the real strain is working capital, not term debt)</w:t>
            </w:r>
          </w:p>
        </w:tc>
      </w:tr>
      <w:tr>
        <w:tc>
          <w:tcPr>
            <w:tcW w:type="dxa" w:w="3200"/>
            <w:shd w:fill="F2F2F2" w:val="clear"/>
          </w:tcPr>
          <w:p>
            <w:r>
              <w:rPr>
                <w:b/>
                <w:bCs/>
              </w:rPr>
              <w:t xml:space="preserve">Operating cash flow (FY26)</w:t>
            </w:r>
          </w:p>
        </w:tc>
        <w:tc>
          <w:tcPr>
            <w:tcW w:type="dxa" w:w="5800"/>
          </w:tcPr>
          <w:p>
            <w:r>
              <w:t xml:space="preserve">-Rs 37 Cr (working-capital days 108-&gt;227, debtor days 181)</w:t>
            </w:r>
          </w:p>
        </w:tc>
      </w:tr>
      <w:tr>
        <w:tc>
          <w:tcPr>
            <w:tcW w:type="dxa" w:w="3200"/>
            <w:shd w:fill="F2F2F2" w:val="clear"/>
          </w:tcPr>
          <w:p>
            <w:r>
              <w:rPr>
                <w:b/>
                <w:bCs/>
              </w:rPr>
              <w:t xml:space="preserve">Promoter holding</w:t>
            </w:r>
          </w:p>
        </w:tc>
        <w:tc>
          <w:tcPr>
            <w:tcW w:type="dxa" w:w="5800"/>
          </w:tcPr>
          <w:p>
            <w:r>
              <w:t xml:space="preserve">63.8% (down from ~89% pre-IPO via two raises within a year)</w:t>
            </w:r>
          </w:p>
        </w:tc>
      </w:tr>
    </w:tbl>
    <w:p>
      <w:pPr>
        <w:spacing w:after="100"/>
      </w:pPr>
    </w:p>
    <w:p>
      <w:pPr>
        <w:spacing w:after="120"/>
      </w:pPr>
      <w:r>
        <w:t xml:space="preserve">Taurian MPS is a genuine beneficiary of India's mining/infra-aggregates capex cycle: revenue scaled from Rs11cr (FY23) to ~Rs100cr (FY26), with historically strong ROCE (31-39%) and EBITDA margins around 20-21%. An order book of ~Rs84cr (Jul-2026, 4-5 month execution window) and a growing export dealer network (25+ dealers, 20+ countries, including new Kenya/Ghana/Thailand/Nepal additions) support near-term revenue visibility, and current manufacturing capacity (~Rs250cr) is well ahead of FY26 actual revenue, so no major fresh capex is needed for the next leg of growth. But three things materially temper the story. First, growth is decelerating sharply -- YoY revenue growth went from +245% (FY24) to +95% (FY25) to +35% (FY26) -- even as management guides a 40-50% reacceleration for FY27 off a very short public track record. Second, cash conversion has broken down: FY26 operating cash flow was -Rs37cr despite a reported Rs16cr net profit, as working-capital days nearly doubled (108-&gt;227) and debtor days reached 181 -- growth is not yet converting to cash. Third, and most serious, the statutory auditor (BDG &amp; CO LLP) resigned effective 14-Apr-2026, roughly seven months after listing, and was replaced via a casual-vacancy appointment (Jay Gupta &amp; Associates) -- this is an explicit HIGH CAUTION governance trigger independent of the financials. The company has also raised capital twice within a year (the Sep-2025 IPO and an Aug-2026 preferential allotment plus convertible warrants, with a further EGM approval in Sep-2026), diluting promoter holding from ~89% pre-IPO to 63.8% -- consistent with funding a working-capital gap rather than pure growth capex. At 32x trailing P/E on decelerating growth and negative operating cash flow, the stock is not pricing in a margin of safety for any of this.</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2026-10-01.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Company overview, H1 FY26 results coverage (aninews, Tribune, NSE intimation PDF): revenue Rs32.29cr, EBITDA margin 20.96%, net profit Rs3.67cr; FY25 revenue Rs73.53cr, EBITDA Rs15.08cr; FY26 full year ~Rs99-100cr revenue, ~Rs16cr profit</w:t>
      </w:r>
    </w:p>
    <w:p>
      <w:pPr>
        <w:pStyle w:val="ListParagraph"/>
        <w:numPr>
          <w:ilvl w:val="0"/>
          <w:numId w:val="1"/>
        </w:numPr>
        <w:spacing w:after="60"/>
      </w:pPr>
      <w:r>
        <w:t xml:space="preserve">screener.in (Taurian MPS): FY23-26 revenue/ROCE/ROE table, P/E 32.2x, mcap Rs523cr, borrowings Rs25cr, promoter holding 63.80% stable, working-capital-day deterioration, operating cash flow -Rs37cr FY26</w:t>
      </w:r>
    </w:p>
    <w:p>
      <w:pPr>
        <w:pStyle w:val="ListParagraph"/>
        <w:numPr>
          <w:ilvl w:val="0"/>
          <w:numId w:val="1"/>
        </w:numPr>
        <w:spacing w:after="60"/>
      </w:pPr>
      <w:r>
        <w:t xml:space="preserve">Chandan Sharma substack write-up ('Taurian MPS, Crushing opportunities?'): business model, value chain, competitors (Metso/Sandvik/Terex/Propel), customer base (L&amp;T/Jindal/Tata/Global Atomic), export dealer network, capacity (Rs250cr), management background, auditor-resignation and governance concerns -- a secondary source, cross-checked against primary filings where possible</w:t>
      </w:r>
    </w:p>
    <w:p>
      <w:pPr>
        <w:pStyle w:val="ListParagraph"/>
        <w:numPr>
          <w:ilvl w:val="0"/>
          <w:numId w:val="1"/>
        </w:numPr>
        <w:spacing w:after="60"/>
      </w:pPr>
      <w:r>
        <w:t xml:space="preserve">NSE/BSE exchange filings (direct search): confirmed statutory auditor resignation (BDG &amp; CO LLP, 14-Apr-2026) and replacement (Jay Gupta &amp; Associates) via Regulation 30 disclosure</w:t>
      </w:r>
    </w:p>
    <w:p>
      <w:pPr>
        <w:pStyle w:val="ListParagraph"/>
        <w:numPr>
          <w:ilvl w:val="0"/>
          <w:numId w:val="1"/>
        </w:numPr>
        <w:spacing w:after="60"/>
      </w:pPr>
      <w:r>
        <w:t xml:space="preserve">IPO and capital-raise timeline (chittorgarh, business-standard-type coverage): Sep-2025 IPO (~Rs42cr, promoter stake 89%-&gt;64%), Aug-2026 preferential allotment + warrants (~Rs59cr), Sep-2026 EGM approval for further issue</w:t>
      </w:r>
    </w:p>
    <w:p>
      <w:pPr>
        <w:pStyle w:val="ListParagraph"/>
        <w:numPr>
          <w:ilvl w:val="0"/>
          <w:numId w:val="1"/>
        </w:numPr>
        <w:spacing w:after="60"/>
      </w:pPr>
      <w:r>
        <w:t xml:space="preserve">Jul-2026 order-book press release: ~Rs84cr order book, 4-5 month execution window</w:t>
      </w:r>
    </w:p>
    <w:p>
      <w:pPr>
        <w:spacing w:after="120"/>
      </w:pPr>
      <w:r>
        <w:rPr>
          <w:b/>
          <w:bCs/>
          <w:sz w:val="20"/>
          <w:szCs w:val="20"/>
        </w:rPr>
        <w:t xml:space="preserve">Annual-report findings (3-year view):</w:t>
      </w:r>
    </w:p>
    <w:p>
      <w:pPr>
        <w:pStyle w:val="ListParagraph"/>
        <w:numPr>
          <w:ilvl w:val="0"/>
          <w:numId w:val="1"/>
        </w:numPr>
        <w:spacing w:after="60"/>
      </w:pPr>
      <w:r>
        <w:t xml:space="preserve">Revenue scaled Rs11cr (FY23) -&gt; Rs38cr (FY24, +245%) -&gt; Rs74cr (FY25, +95%) -&gt; ~Rs100cr (FY26, +35%) -- strong absolute growth but sharply decelerating YoY rate</w:t>
      </w:r>
    </w:p>
    <w:p>
      <w:pPr>
        <w:pStyle w:val="ListParagraph"/>
        <w:numPr>
          <w:ilvl w:val="0"/>
          <w:numId w:val="1"/>
        </w:numPr>
        <w:spacing w:after="60"/>
      </w:pPr>
      <w:r>
        <w:t xml:space="preserve">ROCE was very high in the early scale-up (FY24 39%, FY25 30%) but FY26 ROCE not cleanly disclosed in sources reviewed; FY26 ROE was 27%</w:t>
      </w:r>
    </w:p>
    <w:p>
      <w:pPr>
        <w:pStyle w:val="ListParagraph"/>
        <w:numPr>
          <w:ilvl w:val="0"/>
          <w:numId w:val="1"/>
        </w:numPr>
        <w:spacing w:after="60"/>
      </w:pPr>
      <w:r>
        <w:t xml:space="preserve">FY26 operating cash flow was -Rs37cr despite Rs16cr reported net profit -- working-capital days nearly doubled from 108 (FY25) to 227 (FY26), with debtor days reaching 181</w:t>
      </w:r>
    </w:p>
    <w:p>
      <w:pPr>
        <w:pStyle w:val="ListParagraph"/>
        <w:numPr>
          <w:ilvl w:val="0"/>
          <w:numId w:val="1"/>
        </w:numPr>
        <w:spacing w:after="60"/>
      </w:pPr>
      <w:r>
        <w:t xml:space="preserve">Statutory auditor BDG &amp; CO LLP resigned effective 14-Apr-2026 (~7 months post-listing), replaced via casual vacancy by Jay Gupta &amp; Associates -- confirmed via direct BSE/NSE filing search, not just the secondary source</w:t>
      </w:r>
    </w:p>
    <w:p>
      <w:pPr>
        <w:pStyle w:val="ListParagraph"/>
        <w:numPr>
          <w:ilvl w:val="0"/>
          <w:numId w:val="1"/>
        </w:numPr>
        <w:spacing w:after="60"/>
      </w:pPr>
      <w:r>
        <w:t xml:space="preserve">Two capital raises within a year (Sep-2025 IPO ~Rs42cr + Aug-2026 preferential allotment/warrants ~Rs59cr) diluted promoter holding from ~89% pre-IPO to 63.8%, with a further EGM-approved preferential issue in Sep-2026</w:t>
      </w:r>
    </w:p>
    <w:p>
      <w:pPr>
        <w:pStyle w:val="ListParagraph"/>
        <w:numPr>
          <w:ilvl w:val="0"/>
          <w:numId w:val="1"/>
        </w:numPr>
        <w:spacing w:after="60"/>
      </w:pPr>
      <w:r>
        <w:t xml:space="preserve">No dividend paid despite consistent profitability -- all cash retained (though operating cash flow itself is negative)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H1 FY26: revenue Rs32.29cr, EBITDA margin 20.96%, net profit Rs3.67cr (11.36% net margin) -- sub-scale vs the full-year run-rate, implying an H2-weighted business</w:t>
      </w:r>
    </w:p>
    <w:p>
      <w:pPr>
        <w:pStyle w:val="ListParagraph"/>
        <w:numPr>
          <w:ilvl w:val="0"/>
          <w:numId w:val="1"/>
        </w:numPr>
        <w:spacing w:after="60"/>
      </w:pPr>
      <w:r>
        <w:t xml:space="preserve">FY26 full year: revenue ~Rs99-100cr (+35% YoY), net profit ~Rs16cr -- H2 contributed roughly two-thirds of the year's revenue</w:t>
      </w:r>
    </w:p>
    <w:p>
      <w:pPr>
        <w:pStyle w:val="ListParagraph"/>
        <w:numPr>
          <w:ilvl w:val="0"/>
          <w:numId w:val="1"/>
        </w:numPr>
        <w:spacing w:after="60"/>
      </w:pPr>
      <w:r>
        <w:t xml:space="preserve">H1 FY26 concall noted an order book of ~Rs35cr (Rs25cr planned for execution by Dec); by Jul-2026 the order book had grown to ~Rs84cr for 4-5 month execution -- order-book momentum improving even as the P&amp;L growth rate decelerates</w:t>
      </w:r>
    </w:p>
    <w:p>
      <w:pPr>
        <w:pStyle w:val="ListParagraph"/>
        <w:numPr>
          <w:ilvl w:val="0"/>
          <w:numId w:val="1"/>
        </w:numPr>
        <w:spacing w:after="60"/>
      </w:pPr>
      <w:r>
        <w:t xml:space="preserve">EBITDA margin has held relatively stable (~20-21%) across FY25 and H1 FY26 despite the revenue deceleration</w:t>
      </w:r>
    </w:p>
    <w:p>
      <w:pPr>
        <w:spacing w:after="120"/>
      </w:pPr>
      <w:r>
        <w:rPr>
          <w:b/>
          <w:bCs/>
          <w:sz w:val="20"/>
          <w:szCs w:val="20"/>
        </w:rPr>
        <w:t xml:space="preserve">Exchange announcements (last 6 months):</w:t>
      </w:r>
    </w:p>
    <w:p>
      <w:pPr>
        <w:pStyle w:val="ListParagraph"/>
        <w:numPr>
          <w:ilvl w:val="0"/>
          <w:numId w:val="1"/>
        </w:numPr>
        <w:spacing w:after="60"/>
      </w:pPr>
      <w:r>
        <w:t xml:space="preserve">Sep-2025: NSE SME-platform listing; ~Rs42cr fresh-issue IPO at Rs171/share, promoter stake 89%-&gt;~64%</w:t>
      </w:r>
    </w:p>
    <w:p>
      <w:pPr>
        <w:pStyle w:val="ListParagraph"/>
        <w:numPr>
          <w:ilvl w:val="0"/>
          <w:numId w:val="1"/>
        </w:numPr>
        <w:spacing w:after="60"/>
      </w:pPr>
      <w:r>
        <w:t xml:space="preserve">Apr-2026: Statutory auditor BDG &amp; CO LLP resigned; Jay Gupta &amp; Associates appointed to fill the casual vacancy</w:t>
      </w:r>
    </w:p>
    <w:p>
      <w:pPr>
        <w:pStyle w:val="ListParagraph"/>
        <w:numPr>
          <w:ilvl w:val="0"/>
          <w:numId w:val="1"/>
        </w:numPr>
        <w:spacing w:after="60"/>
      </w:pPr>
      <w:r>
        <w:t xml:space="preserve">Jul-2026: ~Rs84cr order book disclosed, 4-5 month execution window</w:t>
      </w:r>
    </w:p>
    <w:p>
      <w:pPr>
        <w:pStyle w:val="ListParagraph"/>
        <w:numPr>
          <w:ilvl w:val="0"/>
          <w:numId w:val="1"/>
        </w:numPr>
        <w:spacing w:after="60"/>
      </w:pPr>
      <w:r>
        <w:t xml:space="preserve">Aug-2026: Preferential allotment (~Rs24cr) and convertible warrants (~Rs35cr) at Rs419/share for capex and working-capital needs</w:t>
      </w:r>
    </w:p>
    <w:p>
      <w:pPr>
        <w:pStyle w:val="ListParagraph"/>
        <w:numPr>
          <w:ilvl w:val="0"/>
          <w:numId w:val="1"/>
        </w:numPr>
        <w:spacing w:after="60"/>
      </w:pPr>
      <w:r>
        <w:t xml:space="preserve">Sep-2026: EGM approved a further preferential issue (5,82,400 shares + 8,48,800 warrants, up to ~Rs60cr)</w:t>
      </w:r>
    </w:p>
    <w:p>
      <w:pPr>
        <w:spacing w:after="120"/>
      </w:pPr>
      <w:r>
        <w:rPr>
          <w:b/>
          <w:bCs/>
          <w:sz w:val="20"/>
          <w:szCs w:val="20"/>
        </w:rPr>
        <w:t xml:space="preserve">Key new facts vs. the prior write-up:</w:t>
      </w:r>
    </w:p>
    <w:p>
      <w:pPr>
        <w:pStyle w:val="ListParagraph"/>
        <w:numPr>
          <w:ilvl w:val="0"/>
          <w:numId w:val="1"/>
        </w:numPr>
        <w:spacing w:after="60"/>
      </w:pPr>
      <w:r>
        <w:t xml:space="preserve">The auditor resignation is confirmed via direct exchange-filing search (not just the secondary substack source) -- BDG &amp; CO LLP resigned effective 14-Apr-2026, replaced by Jay Gupta &amp; Associates via casual vacancy under Section 139(5)</w:t>
      </w:r>
    </w:p>
    <w:p>
      <w:pPr>
        <w:pStyle w:val="ListParagraph"/>
        <w:numPr>
          <w:ilvl w:val="0"/>
          <w:numId w:val="1"/>
        </w:numPr>
        <w:spacing w:after="60"/>
      </w:pPr>
      <w:r>
        <w:t xml:space="preserve">FY26 operating cash flow of -Rs37cr is a materially new concern not visible from the prior light-entry four_box note, which only cited the order book and ROCE -- the cash-conversion breakdown (working-capital days 108-&gt;227) changes the risk picture substantially</w:t>
      </w:r>
    </w:p>
    <w:p>
      <w:pPr>
        <w:pStyle w:val="ListParagraph"/>
        <w:numPr>
          <w:ilvl w:val="0"/>
          <w:numId w:val="1"/>
        </w:numPr>
        <w:spacing w:after="60"/>
      </w:pPr>
      <w:r>
        <w:t xml:space="preserve">Growth is decelerating, not accelerating, despite an improving absolute order book (Rs35cr H1 FY26 concall -&gt; Rs84cr Jul-2026) -- order intake and revenue-growth-rate are moving in opposite directions</w:t>
      </w:r>
    </w:p>
    <w:p>
      <w:pPr>
        <w:pStyle w:val="ListParagraph"/>
        <w:numPr>
          <w:ilvl w:val="0"/>
          <w:numId w:val="1"/>
        </w:numPr>
        <w:spacing w:after="60"/>
      </w:pPr>
      <w:r>
        <w:t xml:space="preserve">Two dilutive capital raises within a year is a funding-treadmill pattern consistent with the negative operating cash flow, not simply growth-stage capex</w:t>
      </w:r>
    </w:p>
    <w:p>
      <w:pPr>
        <w:spacing w:after="120"/>
      </w:pPr>
      <w:r>
        <w:rPr>
          <w:b/>
          <w:bCs/>
          <w:sz w:val="20"/>
          <w:szCs w:val="20"/>
        </w:rPr>
        <w:t xml:space="preserve">Open questions / what to watch:</w:t>
      </w:r>
    </w:p>
    <w:p>
      <w:pPr>
        <w:pStyle w:val="ListParagraph"/>
        <w:numPr>
          <w:ilvl w:val="0"/>
          <w:numId w:val="1"/>
        </w:numPr>
        <w:spacing w:after="60"/>
      </w:pPr>
      <w:r>
        <w:t xml:space="preserve">What exactly drove the auditor resignation -- the secondary source cites 'low fees' but this is unverified from a primary regulatory filing; worth pulling the actual resignation letter/reasons disclosure if available</w:t>
      </w:r>
    </w:p>
    <w:p>
      <w:pPr>
        <w:pStyle w:val="ListParagraph"/>
        <w:numPr>
          <w:ilvl w:val="0"/>
          <w:numId w:val="1"/>
        </w:numPr>
        <w:spacing w:after="60"/>
      </w:pPr>
      <w:r>
        <w:t xml:space="preserve">Is the claim of 'missed pre-IPO guidance' (from the Chandan Sharma substack) verifiable against the RHP's own projections? Not independently confirmed this pass</w:t>
      </w:r>
    </w:p>
    <w:p>
      <w:pPr>
        <w:pStyle w:val="ListParagraph"/>
        <w:numPr>
          <w:ilvl w:val="0"/>
          <w:numId w:val="1"/>
        </w:numPr>
        <w:spacing w:after="60"/>
      </w:pPr>
      <w:r>
        <w:t xml:space="preserve">Does FY26 ROCE (not cleanly disclosed) actually clear 15%, or did the working-capital blowout drag it down from FY25's 30%?</w:t>
      </w:r>
    </w:p>
    <w:p>
      <w:pPr>
        <w:pStyle w:val="ListParagraph"/>
        <w:numPr>
          <w:ilvl w:val="0"/>
          <w:numId w:val="1"/>
        </w:numPr>
        <w:spacing w:after="60"/>
      </w:pPr>
      <w:r>
        <w:t xml:space="preserve">Does the Rs84cr order book actually convert to cash collection within the stated 4-5 months, given the FY26 debtor-day deterioration to 181?</w:t>
      </w:r>
    </w:p>
    <w:p>
      <w:pPr>
        <w:pStyle w:val="ListParagraph"/>
        <w:numPr>
          <w:ilvl w:val="0"/>
          <w:numId w:val="1"/>
        </w:numPr>
        <w:spacing w:after="60"/>
      </w:pPr>
      <w:r>
        <w:t xml:space="preserve">Is there any related-party-transaction disclosure given the closely-held promoter-family structure (MD + mother)? Not found in sources reviewed this pass</w:t>
      </w:r>
    </w:p>
    <w:p>
      <w:pPr>
        <w:spacing w:after="120" w:before="120"/>
      </w:pPr>
      <w:r>
        <w:rPr>
          <w:b/>
          <w:bCs/>
          <w:sz w:val="20"/>
          <w:szCs w:val="20"/>
        </w:rPr>
        <w:t xml:space="preserve">Conviction impact: </w:t>
      </w:r>
      <w:r>
        <w:rPr>
          <w:sz w:val="20"/>
          <w:szCs w:val="20"/>
        </w:rPr>
        <w:t xml:space="preserve">Medium -&gt; Low-Medium. The deep read confirms a genuine infra/mining-capex growth story (revenue Rs11cr-&gt;~100cr in 3 years, a real and growing order book) but surfaces a HIGH CAUTION governance flag not visible in the prior light-pass four_box: the statutory auditor resigned 7 months post-IPO (confirmed via direct exchange-filing search), FY26 operating cash flow turned sharply negative (-Rs37cr) on a working-capital blowout, and the company has raised dilutive capital twice within a year. Per the project's red-flag rules, a HIGH CAUTION trigger caps conviction at Low-Medium and forces thesis_fit to neither regardless of the reasonably decent box score (2.5) -- growth and order book momentum are real, but governance/cash-conversion risk dominates the near-term picture.</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~Rs83.85cr order book to be executed</w:t>
            </w:r>
          </w:p>
        </w:tc>
        <w:tc>
          <w:tcPr>
            <w:tcW w:type="dxa" w:w="2400"/>
          </w:tcPr>
          <w:p>
            <w:r>
              <w:rPr>
                <w:b w:val="false"/>
                <w:bCs w:val="false"/>
                <w:sz w:val="18"/>
                <w:szCs w:val="18"/>
              </w:rPr>
              <w:t xml:space="preserve">4-5 month execution window, as disclosed Jul-2026</w:t>
            </w:r>
          </w:p>
        </w:tc>
        <w:tc>
          <w:tcPr>
            <w:tcW w:type="dxa" w:w="900"/>
          </w:tcPr>
          <w:p>
            <w:r>
              <w:rPr>
                <w:b w:val="false"/>
                <w:bCs w:val="false"/>
                <w:sz w:val="18"/>
                <w:szCs w:val="18"/>
              </w:rPr>
              <w:t xml:space="preserve">6M</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growth guidance of 40-50%</w:t>
            </w:r>
          </w:p>
        </w:tc>
        <w:tc>
          <w:tcPr>
            <w:tcW w:type="dxa" w:w="2400"/>
          </w:tcPr>
          <w:p>
            <w:r>
              <w:rPr>
                <w:b w:val="false"/>
                <w:bCs w:val="false"/>
                <w:sz w:val="18"/>
                <w:szCs w:val="18"/>
              </w:rPr>
              <w:t xml:space="preserve">16-18% PAT margin targeted per management commentary (secondary sources)</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Export dealer-network expansion</w:t>
            </w:r>
          </w:p>
        </w:tc>
        <w:tc>
          <w:tcPr>
            <w:tcW w:type="dxa" w:w="2400"/>
          </w:tcPr>
          <w:p>
            <w:r>
              <w:rPr>
                <w:b w:val="false"/>
                <w:bCs w:val="false"/>
                <w:sz w:val="18"/>
                <w:szCs w:val="18"/>
              </w:rPr>
              <w:t xml:space="preserve">25+ dealers across 20+ countries; recent additions Kenya, Ghana, Thailand, Nepal</w:t>
            </w:r>
          </w:p>
        </w:tc>
        <w:tc>
          <w:tcPr>
            <w:tcW w:type="dxa" w:w="900"/>
          </w:tcPr>
          <w:p>
            <w:r>
              <w:rPr>
                <w:b w:val="false"/>
                <w:bCs w:val="false"/>
                <w:sz w:val="18"/>
                <w:szCs w:val="18"/>
              </w:rPr>
              <w:t xml:space="preserve">12M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Existing Roorkee facility supports ~Rs250cr revenue capacity</w:t>
            </w:r>
          </w:p>
        </w:tc>
        <w:tc>
          <w:tcPr>
            <w:tcW w:type="dxa" w:w="2400"/>
          </w:tcPr>
          <w:p>
            <w:r>
              <w:rPr>
                <w:b w:val="false"/>
                <w:bCs w:val="false"/>
                <w:sz w:val="18"/>
                <w:szCs w:val="18"/>
              </w:rPr>
              <w:t xml:space="preserve">vs FY26 actual revenue ~Rs100cr (~40% utilization)</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order book inflow</w:t>
      </w:r>
      <w:r>
        <w:rPr>
          <w:color w:val="666666"/>
          <w:sz w:val="20"/>
          <w:szCs w:val="20"/>
        </w:rPr>
        <w:t xml:space="preserve"> → </w:t>
      </w:r>
      <w:r>
        <w:rPr>
          <w:b w:val="false"/>
          <w:bCs w:val="false"/>
          <w:sz w:val="20"/>
          <w:szCs w:val="20"/>
        </w:rPr>
        <w:t xml:space="preserve">manufacturing execution (single-site Roorkee)</w:t>
      </w:r>
      <w:r>
        <w:rPr>
          <w:color w:val="666666"/>
          <w:sz w:val="20"/>
          <w:szCs w:val="20"/>
        </w:rPr>
        <w:t xml:space="preserve"> → </w:t>
      </w:r>
      <w:r>
        <w:rPr>
          <w:b w:val="false"/>
          <w:bCs w:val="false"/>
          <w:sz w:val="20"/>
          <w:szCs w:val="20"/>
        </w:rPr>
        <w:t xml:space="preserve">revenue recognition</w:t>
      </w:r>
      <w:r>
        <w:rPr>
          <w:color w:val="666666"/>
          <w:sz w:val="20"/>
          <w:szCs w:val="20"/>
        </w:rPr>
        <w:t xml:space="preserve"> → </w:t>
      </w:r>
      <w:r>
        <w:rPr>
          <w:b w:val="false"/>
          <w:bCs w:val="false"/>
          <w:sz w:val="20"/>
          <w:szCs w:val="20"/>
        </w:rPr>
        <w:t xml:space="preserve">working-capital (debtor/inventory) absorption</w:t>
      </w:r>
      <w:r>
        <w:rPr>
          <w:color w:val="666666"/>
          <w:sz w:val="20"/>
          <w:szCs w:val="20"/>
        </w:rPr>
        <w:t xml:space="preserve"> → </w:t>
      </w:r>
      <w:r>
        <w:rPr>
          <w:b w:val="false"/>
          <w:bCs w:val="false"/>
          <w:sz w:val="20"/>
          <w:szCs w:val="20"/>
        </w:rPr>
        <w:t xml:space="preserve">EBITDA</w:t>
      </w:r>
      <w:r>
        <w:rPr>
          <w:color w:val="666666"/>
          <w:sz w:val="20"/>
          <w:szCs w:val="20"/>
        </w:rPr>
        <w:t xml:space="preserve"> → </w:t>
      </w:r>
      <w:r>
        <w:rPr>
          <w:b w:val="false"/>
          <w:bCs w:val="false"/>
          <w:sz w:val="20"/>
          <w:szCs w:val="20"/>
        </w:rPr>
        <w:t xml:space="preserve">PAT/FCF</w:t>
      </w:r>
    </w:p>
    <w:p>
      <w:pPr>
        <w:spacing w:after="120"/>
      </w:pPr>
      <w:r>
        <w:rPr>
          <w:color w:val="666666"/>
          <w:sz w:val="18"/>
          <w:szCs w:val="18"/>
        </w:rPr>
        <w:t xml:space="preserve">Bottleneck link: working-capital absorption (debtor days 181, working-capital days 227 in FY26) -- not manufacturing capacity.</w:t>
      </w:r>
    </w:p>
    <w:p>
      <w:pPr>
        <w:spacing w:after="120"/>
      </w:pPr>
      <w:r>
        <w:rPr>
          <w:color w:val="666666"/>
          <w:sz w:val="18"/>
          <w:szCs w:val="18"/>
        </w:rPr>
        <w:t xml:space="preserve">Operating leverage: unclear -- revenue growth is decelerating and cash conversion deteriorating despite a stable EBITDA margin</w:t>
      </w:r>
    </w:p>
    <w:p>
      <w:pPr>
        <w:spacing w:after="120"/>
      </w:pPr>
      <w:r>
        <w:rPr>
          <w:color w:val="666666"/>
          <w:sz w:val="18"/>
          <w:szCs w:val="18"/>
        </w:rPr>
        <w:t xml:space="preserve">Evidenced: order book inflow; revenue recognition. Still assumed: working-capital normalization; EBITDA -&gt; PAT/FCF conversion.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2026-10-01</w:t>
            </w:r>
          </w:p>
        </w:tc>
      </w:tr>
      <w:tr>
        <w:tc>
          <w:tcPr>
            <w:tcW w:type="dxa" w:w="3200"/>
            <w:shd w:fill="F2F2F2" w:val="clear"/>
          </w:tcPr>
          <w:p>
            <w:r>
              <w:rPr>
                <w:b/>
                <w:bCs/>
              </w:rPr>
              <w:t xml:space="preserve">Price / multiple</w:t>
            </w:r>
          </w:p>
        </w:tc>
        <w:tc>
          <w:tcPr>
            <w:tcW w:type="dxa" w:w="5800"/>
          </w:tcPr>
          <w:p>
            <w:r>
              <w:t xml:space="preserve">Rs 588 · 32.2x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32x trailing P/E on a micro-cap SME (ROE ~27%) implies the market is pricing sustained 30-40%+ EPS growth for several years at an ~18-20x terminal exit -- a high bar given FY26 growth already decelerated to 35% and operating cash flow turned sharply negative</w:t>
            </w:r>
          </w:p>
        </w:tc>
      </w:tr>
      <w:tr>
        <w:tc>
          <w:tcPr>
            <w:tcW w:type="dxa" w:w="3200"/>
            <w:shd w:fill="F2F2F2" w:val="clear"/>
          </w:tcPr>
          <w:p>
            <w:r>
              <w:rPr>
                <w:b/>
                <w:bCs/>
              </w:rPr>
              <w:t xml:space="preserve">Our FY27</w:t>
            </w:r>
          </w:p>
        </w:tc>
        <w:tc>
          <w:tcPr>
            <w:tcW w:type="dxa" w:w="5800"/>
          </w:tcPr>
          <w:p>
            <w:r>
              <w:t xml:space="preserve">Revenue +35-45% is plausible given the ~Rs84cr order book, but PAT growth likely lags revenue given the working-capital/finance-cost drag; cash conversion is the real swing factor, not revenue</w:t>
            </w:r>
          </w:p>
        </w:tc>
      </w:tr>
      <w:tr>
        <w:tc>
          <w:tcPr>
            <w:tcW w:type="dxa" w:w="3200"/>
            <w:shd w:fill="F2F2F2" w:val="clear"/>
          </w:tcPr>
          <w:p>
            <w:r>
              <w:rPr>
                <w:b/>
                <w:bCs/>
              </w:rPr>
              <w:t xml:space="preserve">Our FY28</w:t>
            </w:r>
          </w:p>
        </w:tc>
        <w:tc>
          <w:tcPr>
            <w:tcW w:type="dxa" w:w="5800"/>
          </w:tcPr>
          <w:p>
            <w:r>
              <w:t xml:space="preserve">Contingent on resolving the working-capital cycle and whether the two recent capital raises stabilize the balance sheet; too early to estimate with confidence given only ~1 year of public disclosure history</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 is pricing continued hyper-growth off a thin one-year public track record; actual FY26 cash generation (operating cash flow -Rs37cr) and growth deceleration (245%-&gt;95%-&gt;35%) argue the 32x multiple is ahead of demonstrated execution, before even weighing the HIGH CAUTION governance flag (auditor resignation)</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Execution of the ~Rs83.85cr order book (Jul-2026, 4-5 month window) converting to FY27 revenue and, critically, to actual cash collection, alongside resolution of the FY26 working-capital/cash-flow strain and stabilization post the Apr-2026 auditor transition</w:t>
      </w:r>
      <w:r>
        <w:rPr>
          <w:color w:val="666666"/>
          <w:sz w:val="18"/>
          <w:szCs w:val="18"/>
        </w:rPr>
        <w:t xml:space="preserve"> (window ~5M from 2026-10-01; dated; evidence low;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mining/infra-aggregates crushing &amp; screening equipment (import-substitution)</w:t>
            </w:r>
          </w:p>
        </w:tc>
      </w:tr>
      <w:tr>
        <w:tc>
          <w:tcPr>
            <w:tcW w:type="dxa" w:w="3200"/>
            <w:shd w:fill="F2F2F2" w:val="clear"/>
          </w:tcPr>
          <w:p>
            <w:r>
              <w:rPr>
                <w:b/>
                <w:bCs/>
              </w:rPr>
              <w:t xml:space="preserve">This company's position</w:t>
            </w:r>
          </w:p>
        </w:tc>
        <w:tc>
          <w:tcPr>
            <w:tcW w:type="dxa" w:w="5800"/>
          </w:tcPr>
          <w:p>
            <w:r>
              <w:t xml:space="preserve">domestic manufacturer, single Roorkee facility, OEM equipment + spares/after-sales (~10% of revenue) to mining, construction, waste-recycling and water-treatment customers</w:t>
            </w:r>
          </w:p>
        </w:tc>
      </w:tr>
      <w:tr>
        <w:tc>
          <w:tcPr>
            <w:tcW w:type="dxa" w:w="3200"/>
            <w:shd w:fill="F2F2F2" w:val="clear"/>
          </w:tcPr>
          <w:p>
            <w:r>
              <w:rPr>
                <w:b/>
                <w:bCs/>
              </w:rPr>
              <w:t xml:space="preserve">Bottleneck node (pricing power)</w:t>
            </w:r>
          </w:p>
        </w:tc>
        <w:tc>
          <w:tcPr>
            <w:tcW w:type="dxa" w:w="5800"/>
          </w:tcPr>
          <w:p>
            <w:r>
              <w:t xml:space="preserve">single-site manufacturing capacity + working-capital funding for order execution</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Propel Industries (unlisted, ~Rs1,000cr sales), Metso (global), Sandvik (global), Terex (global)</w:t>
            </w:r>
          </w:p>
        </w:tc>
      </w:tr>
    </w:tbl>
    <w:p>
      <w:pPr>
        <w:spacing w:after="120"/>
      </w:pPr>
      <w:r>
        <w:rPr>
          <w:color w:val="666666"/>
          <w:sz w:val="18"/>
          <w:szCs w:val="18"/>
        </w:rPr>
        <w:t xml:space="preserve">No large listed Indian pure-play peer; Taurian is a small domestic cost-edge player riding India's infra/mining capex cycle, with global majors and privately-held Propel (roughly 10x Taurian's scale) as the real competitive set -- both the sector and Taurian itself are in capacity-adding mode, not a consolidating/favorable supply backdrop.</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scale from capacity-utilization ramp (currently ~40%); product mix (spares ~10%, typically higher-margin); order-timing lumpiness typical of a project/EPC-adjacent equipment business.</w:t>
      </w:r>
    </w:p>
    <w:p>
      <w:pPr>
        <w:spacing w:after="120"/>
      </w:pPr>
      <w:r>
        <w:rPr>
          <w:color w:val="666666"/>
          <w:sz w:val="18"/>
          <w:szCs w:val="18"/>
        </w:rPr>
        <w:t xml:space="preserve">EBITDA margin has held roughly stable (~20-21%) across FY25 and H1 FY26 without an obvious single-period spike; too short an operating history (post-scale-up, only ~1 year public) to confirm a genuine through-cycle normal -- flagged as an open question rather than asserted as a peak.</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Revenue YoY: FY24 +245% (Rs11cr-&gt;38cr), FY25 +95% (Rs38cr-&gt;74cr), FY26 +35% (Rs74cr-&gt;~100cr); H1 FY26 revenue was only Rs32.29cr (sub-scale vs the full-year run-rate, implying an H2-weighted business); management guides 40-50% FY27 growth off an Rs83.85cr (Jul-2026) order book, against a typical order-book visibility window of only 2-3 months.</w:t>
      </w:r>
    </w:p>
    <w:p>
      <w:pPr>
        <w:spacing w:after="120"/>
      </w:pPr>
      <w:r>
        <w:rPr>
          <w:color w:val="666666"/>
          <w:sz w:val="18"/>
          <w:szCs w:val="18"/>
        </w:rPr>
        <w:t xml:space="preserve">Reverse P/E: At 32x trailing P/E on a decelerating-growth, negative-operating-cash-flow micro-cap, the multiple already prices aggressive forward growth (40%+ sustained) with no margin of safety for execution slips -- the growth trend (decelerating) argues against, not for, this multiple.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High historical ROCE (31-39% FY24-25) on capital-light manufacturing reinvestment, but two capital raises within a year (IPO Sep-2025 ~Rs42cr + preferential allotment/warrants Aug-2026 ~Rs59cr, further EGM approval Sep-2026) to fund a working-capital gap, diluting promoter stake from ~89% pre-IPO to 63.8% -- a funding treadmill rather than pure growth capex. (unclear)</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unclear</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Export expansion into Kenya/Ghana/Thailand/Nepal and a ~10% spares/after-sales revenue mix signal a move beyond pure equipment sales toward integrated solutions/services, but manufacturing remains single-site.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w:t>
            </w:r>
          </w:p>
        </w:tc>
      </w:tr>
      <w:tr>
        <w:tc>
          <w:tcPr>
            <w:tcW w:type="dxa" w:w="3200"/>
            <w:shd w:fill="F2F2F2" w:val="clear"/>
          </w:tcPr>
          <w:p>
            <w:r>
              <w:rPr>
                <w:b/>
                <w:bCs/>
              </w:rPr>
              <w:t xml:space="preserve">Leverage</w:t>
            </w:r>
          </w:p>
        </w:tc>
        <w:tc>
          <w:tcPr>
            <w:tcW w:type="dxa" w:w="5800"/>
          </w:tcPr>
          <w:p>
            <w:r>
              <w:t xml:space="preserve">Net debt/EBITDA 1.2x</w:t>
            </w:r>
          </w:p>
        </w:tc>
      </w:tr>
      <w:tr>
        <w:tc>
          <w:tcPr>
            <w:tcW w:type="dxa" w:w="3200"/>
            <w:shd w:fill="F2F2F2" w:val="clear"/>
          </w:tcPr>
          <w:p>
            <w:r>
              <w:rPr>
                <w:b/>
                <w:bCs/>
              </w:rPr>
              <w:t xml:space="preserve">FCF conversion</w:t>
            </w:r>
          </w:p>
        </w:tc>
        <w:tc>
          <w:tcPr>
            <w:tcW w:type="dxa" w:w="5800"/>
          </w:tcPr>
          <w:p>
            <w:r>
              <w:t xml:space="preserve">-185%</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unclear</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3 years (consistency_score 67)</w:t>
      </w:r>
    </w:p>
    <w:p>
      <w:pPr>
        <w:spacing w:after="120"/>
      </w:pPr>
      <w:r>
        <w:rPr>
          <w:color w:val="666666"/>
          <w:sz w:val="18"/>
          <w:szCs w:val="18"/>
        </w:rPr>
        <w:t xml:space="preserve">FY24 (rev +245%, ROCE 39%) and FY25 (rev +95%, ROCE 30%) both clear the growth+ROCE hurdles comfortably. FY26 (rev +35%) ROCE not cleanly disclosed in sources reviewed this pass (ROE was 27%, but leverage/ROCE relationship not verifiable) -- conservatively not counted as cleared. FY23 (first scale year, revenue only Rs11cr, near-zero reported profit) excluded as pre-scale.</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Working capital: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Inventory days</w:t>
            </w:r>
          </w:p>
        </w:tc>
        <w:tc>
          <w:tcPr>
            <w:tcW w:type="dxa" w:w="5800"/>
          </w:tcPr>
          <w:p>
            <w:r>
              <w:t xml:space="preserve">—</w:t>
            </w:r>
          </w:p>
        </w:tc>
      </w:tr>
      <w:tr>
        <w:tc>
          <w:tcPr>
            <w:tcW w:type="dxa" w:w="3200"/>
            <w:shd w:fill="F2F2F2" w:val="clear"/>
          </w:tcPr>
          <w:p>
            <w:r>
              <w:rPr>
                <w:b/>
                <w:bCs/>
              </w:rPr>
              <w:t xml:space="preserve">Receivable days</w:t>
            </w:r>
          </w:p>
        </w:tc>
        <w:tc>
          <w:tcPr>
            <w:tcW w:type="dxa" w:w="5800"/>
          </w:tcPr>
          <w:p>
            <w:r>
              <w:t xml:space="preserve">181</w:t>
            </w:r>
          </w:p>
        </w:tc>
      </w:tr>
      <w:tr>
        <w:tc>
          <w:tcPr>
            <w:tcW w:type="dxa" w:w="3200"/>
            <w:shd w:fill="F2F2F2" w:val="clear"/>
          </w:tcPr>
          <w:p>
            <w:r>
              <w:rPr>
                <w:b/>
                <w:bCs/>
              </w:rPr>
              <w:t xml:space="preserve">Payable days</w:t>
            </w:r>
          </w:p>
        </w:tc>
        <w:tc>
          <w:tcPr>
            <w:tcW w:type="dxa" w:w="5800"/>
          </w:tcPr>
          <w:p>
            <w:r>
              <w:t xml:space="preserve">—</w:t>
            </w:r>
          </w:p>
        </w:tc>
      </w:tr>
      <w:tr>
        <w:tc>
          <w:tcPr>
            <w:tcW w:type="dxa" w:w="3200"/>
            <w:shd w:fill="F2F2F2" w:val="clear"/>
          </w:tcPr>
          <w:p>
            <w:r>
              <w:rPr>
                <w:b/>
                <w:bCs/>
              </w:rPr>
              <w:t xml:space="preserve">Cash conversion cycle</w:t>
            </w:r>
          </w:p>
        </w:tc>
        <w:tc>
          <w:tcPr>
            <w:tcW w:type="dxa" w:w="5800"/>
          </w:tcPr>
          <w:p>
            <w:r>
              <w:t xml:space="preserve">—</w:t>
            </w:r>
          </w:p>
        </w:tc>
      </w:tr>
      <w:tr>
        <w:tc>
          <w:tcPr>
            <w:tcW w:type="dxa" w:w="3200"/>
            <w:shd w:fill="F2F2F2" w:val="clear"/>
          </w:tcPr>
          <w:p>
            <w:r>
              <w:rPr>
                <w:b/>
                <w:bCs/>
              </w:rPr>
              <w:t xml:space="preserve">3y trend</w:t>
            </w:r>
          </w:p>
        </w:tc>
        <w:tc>
          <w:tcPr>
            <w:tcW w:type="dxa" w:w="5800"/>
          </w:tcPr>
          <w:p>
            <w:r>
              <w:t xml:space="preserve">elongating</w:t>
            </w:r>
          </w:p>
        </w:tc>
      </w:tr>
      <w:tr>
        <w:tc>
          <w:tcPr>
            <w:tcW w:type="dxa" w:w="3200"/>
            <w:shd w:fill="F2F2F2" w:val="clear"/>
          </w:tcPr>
          <w:p>
            <w:r>
              <w:rPr>
                <w:b/>
                <w:bCs/>
              </w:rPr>
              <w:t xml:space="preserve">Vs sector</w:t>
            </w:r>
          </w:p>
        </w:tc>
        <w:tc>
          <w:tcPr>
            <w:tcW w:type="dxa" w:w="5800"/>
          </w:tcPr>
          <w:p>
            <w:r>
              <w:t xml:space="preserve">unclear</w:t>
            </w:r>
          </w:p>
        </w:tc>
      </w:tr>
    </w:tbl>
    <w:p>
      <w:pPr>
        <w:spacing w:after="120"/>
      </w:pPr>
      <w:r>
        <w:rPr>
          <w:color w:val="666666"/>
          <w:sz w:val="18"/>
          <w:szCs w:val="18"/>
        </w:rPr>
        <w:t xml:space="preserve">Working-capital days nearly doubled from 108 (FY25) to 227 (FY26) and debtor days reached 181 in FY26, consistent with the sharp operating-cash-flow deterioration (operating cash flow -Rs37cr) -- flagged as a core HIGH CAUTION driver alongside the auditor resignation. Peer (Propel) working-capital data not available for comparison, so sector-relative is unclear.</w:t>
      </w:r>
    </w:p>
    <w:p>
      <w:pPr>
        <w:spacing w:after="120"/>
      </w:pPr>
      <w:r>
        <w:rPr>
          <w:b/>
          <w:bCs/>
          <w:sz w:val="20"/>
          <w:szCs w:val="20"/>
        </w:rPr>
        <w:t xml:space="preserve">Sector KPIs:</w:t>
      </w:r>
    </w:p>
    <w:p>
      <w:pPr>
        <w:pStyle w:val="ListParagraph"/>
        <w:numPr>
          <w:ilvl w:val="0"/>
          <w:numId w:val="1"/>
        </w:numPr>
        <w:spacing w:after="60"/>
      </w:pPr>
      <w:r>
        <w:t xml:space="preserve">Order book / FY26 revenue: ~Rs83.85cr (Jul-2026) vs FY26 revenue ~Rs100cr (improving) — up from ~Rs35cr order book reported at the H1 FY26 concall</w:t>
      </w:r>
    </w:p>
    <w:p>
      <w:pPr>
        <w:pStyle w:val="ListParagraph"/>
        <w:numPr>
          <w:ilvl w:val="0"/>
          <w:numId w:val="1"/>
        </w:numPr>
        <w:spacing w:after="60"/>
      </w:pPr>
      <w:r>
        <w:t xml:space="preserve">Capacity utilization: ~40% (FY26 revenue ~Rs100cr vs ~Rs250cr capacity) (unclear) — ample headroom without fresh major capex</w:t>
      </w:r>
    </w:p>
    <w:p>
      <w:pPr>
        <w:pStyle w:val="ListParagraph"/>
        <w:numPr>
          <w:ilvl w:val="0"/>
          <w:numId w:val="1"/>
        </w:numPr>
        <w:spacing w:after="60"/>
      </w:pPr>
      <w:r>
        <w:t xml:space="preserve">Export dealer network: 25+ dealers across 20+ countries (improving) — added Kenya, Ghana, Thailand, Nepal recently</w:t>
      </w:r>
    </w:p>
    <w:p>
      <w:pPr>
        <w:pStyle w:val="ListParagraph"/>
        <w:numPr>
          <w:ilvl w:val="0"/>
          <w:numId w:val="1"/>
        </w:numPr>
        <w:spacing w:after="60"/>
      </w:pPr>
      <w:r>
        <w:t xml:space="preserve">Spares/after-sales revenue mix: ~10% of revenue (stable)</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ValuePickr forum not reviewed this pass (primary-document deep dive only, per task scope).</w:t>
      </w:r>
    </w:p>
    <w:p>
      <w:pPr>
        <w:pStyle w:val="Heading1"/>
        <w:spacing w:after="120" w:before="280"/>
      </w:pPr>
      <w:r>
        <w:t xml:space="preserve">BSE Corporate Actions / Other Red Flags</w:t>
      </w:r>
    </w:p>
    <w:p>
      <w:pPr>
        <w:spacing w:after="120"/>
      </w:pPr>
      <w:r>
        <w:t xml:space="preserve">Apr-2026: BSE/NSE intimation of statutory auditor resignation (BDG &amp; CO LLP, effective 14-Apr-2026) and appointment of Jay Gupta &amp; Associates to fill the casual vacancy under Section 139(5), Companies Act 2013. Jul-2026: press release disclosing ~Rs83.85cr order book for execution over 4-5 months. Aug-2026: preferential allotment (~Rs24cr) and convertible warrants (~Rs35cr) at Rs419/share for capex and working-capital needs. Sep-2026: EGM approved further preferential issue (5,82,400 shares + 8,48,800 warrants, up to ~Rs60cr).</w:t>
      </w:r>
    </w:p>
    <w:p>
      <w:pPr>
        <w:pStyle w:val="Heading1"/>
        <w:spacing w:after="120" w:before="280"/>
      </w:pPr>
      <w:r>
        <w:t xml:space="preserve">Bull Case</w:t>
      </w:r>
    </w:p>
    <w:p>
      <w:pPr>
        <w:pStyle w:val="ListParagraph"/>
        <w:numPr>
          <w:ilvl w:val="0"/>
          <w:numId w:val="1"/>
        </w:numPr>
        <w:spacing w:after="60"/>
      </w:pPr>
      <w:r>
        <w:t xml:space="preserve">Genuine, structural infra/mining-aggregates capex tailwind in a market with no large listed domestic pure-play competitor (nearest is unlisted Propel, ~10x Taurian's revenue)</w:t>
      </w:r>
    </w:p>
    <w:p>
      <w:pPr>
        <w:pStyle w:val="ListParagraph"/>
        <w:numPr>
          <w:ilvl w:val="0"/>
          <w:numId w:val="1"/>
        </w:numPr>
        <w:spacing w:after="60"/>
      </w:pPr>
      <w:r>
        <w:t xml:space="preserve">Order book of ~Rs84cr (Jul-2026, 4-5 month execution window) exceeds roughly a year of FY26 revenue, giving near-term visibility</w:t>
      </w:r>
    </w:p>
    <w:p>
      <w:pPr>
        <w:pStyle w:val="ListParagraph"/>
        <w:numPr>
          <w:ilvl w:val="0"/>
          <w:numId w:val="1"/>
        </w:numPr>
        <w:spacing w:after="60"/>
      </w:pPr>
      <w:r>
        <w:t xml:space="preserve">Capacity (~Rs250cr) is well ahead of FY26 actual revenue (~Rs100cr, ~40% utilization) -- no major fresh capex needed for the next leg of growth</w:t>
      </w:r>
    </w:p>
    <w:p>
      <w:pPr>
        <w:pStyle w:val="ListParagraph"/>
        <w:numPr>
          <w:ilvl w:val="0"/>
          <w:numId w:val="1"/>
        </w:numPr>
        <w:spacing w:after="60"/>
      </w:pPr>
      <w:r>
        <w:t xml:space="preserve">Export dealer network expanding (25+ dealers, 20+ countries, recent Kenya/Ghana/Thailand/Nepal adds); ~10% of revenue already from higher-margin spares/after-sales</w:t>
      </w:r>
    </w:p>
    <w:p>
      <w:pPr>
        <w:pStyle w:val="ListParagraph"/>
        <w:numPr>
          <w:ilvl w:val="0"/>
          <w:numId w:val="1"/>
        </w:numPr>
        <w:spacing w:after="60"/>
      </w:pPr>
      <w:r>
        <w:t xml:space="preserve">Historically strong capital efficiency: ROCE 31-39% in FY24-25, EBITDA margins ~20-21%</w:t>
      </w:r>
    </w:p>
    <w:p>
      <w:pPr>
        <w:pStyle w:val="Heading1"/>
        <w:spacing w:after="120" w:before="280"/>
      </w:pPr>
      <w:r>
        <w:t xml:space="preserve">Bear Case / Key Risks</w:t>
      </w:r>
    </w:p>
    <w:p>
      <w:pPr>
        <w:pStyle w:val="ListParagraph"/>
        <w:numPr>
          <w:ilvl w:val="0"/>
          <w:numId w:val="1"/>
        </w:numPr>
        <w:spacing w:after="60"/>
      </w:pPr>
      <w:r>
        <w:t xml:space="preserve">Statutory auditor (BDG &amp; CO LLP) resigned effective 14-Apr-2026, ~7 months post-IPO, replaced via a casual-vacancy appointment -- an explicit HIGH CAUTION governance trigger</w:t>
      </w:r>
    </w:p>
    <w:p>
      <w:pPr>
        <w:pStyle w:val="ListParagraph"/>
        <w:numPr>
          <w:ilvl w:val="0"/>
          <w:numId w:val="1"/>
        </w:numPr>
        <w:spacing w:after="60"/>
      </w:pPr>
      <w:r>
        <w:t xml:space="preserve">FY26 operating cash flow was -Rs37cr despite a reported Rs16cr net profit -- working-capital days nearly doubled (108-&gt;227) and debtor days reached 181; growth is not converting to cash</w:t>
      </w:r>
    </w:p>
    <w:p>
      <w:pPr>
        <w:pStyle w:val="ListParagraph"/>
        <w:numPr>
          <w:ilvl w:val="0"/>
          <w:numId w:val="1"/>
        </w:numPr>
        <w:spacing w:after="60"/>
      </w:pPr>
      <w:r>
        <w:t xml:space="preserve">Revenue growth is decelerating sharply (+245% FY24 -&gt; +95% FY25 -&gt; +35% FY26), while the FY27 guidance of 40-50% reacceleration rests on a very short (since Sep-2025) public disclosure history</w:t>
      </w:r>
    </w:p>
    <w:p>
      <w:pPr>
        <w:pStyle w:val="ListParagraph"/>
        <w:numPr>
          <w:ilvl w:val="0"/>
          <w:numId w:val="1"/>
        </w:numPr>
        <w:spacing w:after="60"/>
      </w:pPr>
      <w:r>
        <w:t xml:space="preserve">Two dilutive capital raises within a year (Sep-2025 IPO + Aug-2026 preferential allotment/warrants, further EGM approval Sep-2026) cut promoter holding from ~89% to 63.8% -- a funding treadmill for working capital, not pure growth capex</w:t>
      </w:r>
    </w:p>
    <w:p>
      <w:pPr>
        <w:pStyle w:val="ListParagraph"/>
        <w:numPr>
          <w:ilvl w:val="0"/>
          <w:numId w:val="1"/>
        </w:numPr>
        <w:spacing w:after="60"/>
      </w:pPr>
      <w:r>
        <w:t xml:space="preserve">At 32x trailing P/E on decelerating, cash-flow-negative growth, valuation already prices continued hyper-growth with no margin of safety for execution slips</w:t>
      </w:r>
    </w:p>
    <w:p>
      <w:pPr>
        <w:pStyle w:val="ListParagraph"/>
        <w:numPr>
          <w:ilvl w:val="0"/>
          <w:numId w:val="1"/>
        </w:numPr>
        <w:spacing w:after="60"/>
      </w:pPr>
      <w:r>
        <w:t xml:space="preserve">Moat is weak against global majors (Metso, Sandvik, Terex); single-site (Roorkee) manufacturing is a concentration/single-point-of-failure risk</w:t>
      </w:r>
    </w:p>
    <w:p>
      <w:pPr>
        <w:pStyle w:val="ListParagraph"/>
        <w:numPr>
          <w:ilvl w:val="0"/>
          <w:numId w:val="1"/>
        </w:numPr>
        <w:spacing w:after="60"/>
      </w:pPr>
      <w:r>
        <w:t xml:space="preserve">Young, thin promoter-management team (24-year-old MD and his mother as co-promoter) with limited investor communication; a secondary source also flags missed pre-IPO guidance, unverified from a primary filing this pass</w:t>
      </w:r>
    </w:p>
    <w:p>
      <w:pPr>
        <w:pStyle w:val="Heading1"/>
        <w:spacing w:after="120" w:before="280"/>
      </w:pPr>
      <w:r>
        <w:t xml:space="preserve">Market-Cap Tier (informational — not a gate in this project)</w:t>
      </w:r>
    </w:p>
    <w:p>
      <w:pPr>
        <w:spacing w:after="120"/>
      </w:pPr>
      <w:r>
        <w:rPr>
          <w:b/>
          <w:bCs/>
        </w:rPr>
        <w:t xml:space="preserve">Micro-cap (~Rs 523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weak · valuation: no  (score 2.5 / 4)</w:t>
      </w:r>
    </w:p>
    <w:p>
      <w:pPr>
        <w:spacing w:after="120"/>
      </w:pPr>
      <w:r>
        <w:rPr>
          <w:i/>
          <w:iCs/>
          <w:color w:val="666666"/>
          <w:sz w:val="20"/>
          <w:szCs w:val="20"/>
        </w:rPr>
        <w:t xml:space="preserve">Genuine infra/mining-capex tailwind and a large relative TAM (capacity supports ~Rs250cr revenue vs FY26 actual ~Rs100cr, 25+ country dealer network) but moat is weak against global majors (Metso/Sandvik/Terex) and the larger unlisted domestic rival Propel (~10x Taurian's size); valuation is not cheap at 32x trailing P/E against decelerating growth (245%-&gt;95%-&gt;35% revenue YoY) and negative FY26 operating cash flow. Score 2.5 independently lands in the 'neither' band per the decision table; the HIGH CAUTION red flag (auditor resignation + cash-flow stress + dilutive raises) separately and additionally forces thesis_fit to neither regardless of score.</w:t>
      </w:r>
    </w:p>
    <w:p>
      <w:pPr>
        <w:pStyle w:val="Heading1"/>
        <w:spacing w:after="120" w:before="280"/>
      </w:pPr>
      <w:r>
        <w:t xml:space="preserve">Verdict</w:t>
      </w:r>
    </w:p>
    <w:p>
      <w:pPr>
        <w:spacing w:after="120"/>
      </w:pPr>
      <w:r>
        <w:rPr>
          <w:b/>
          <w:bCs/>
          <w:sz w:val="24"/>
          <w:szCs w:val="24"/>
        </w:rPr>
        <w:t xml:space="preserve">Genuine infra-capex tailwind and a real order book (~Rs84cr, Jul-2026), but a statutory-auditor resignation (Apr-2026), deeply negative FY26 operating cash flow (-Rs37cr), and two dilutive capital raises within a year force a HIGH CAUTION red flag that overrides the otherwise-decent four-box score</w:t>
      </w:r>
    </w:p>
    <w:p>
      <w:pPr>
        <w:pStyle w:val="ListParagraph"/>
        <w:numPr>
          <w:ilvl w:val="0"/>
          <w:numId w:val="1"/>
        </w:numPr>
        <w:spacing w:after="60"/>
      </w:pPr>
      <w:r>
        <w:t xml:space="preserve">Statutory auditor BDG &amp; CO LLP resigned effective 14-Apr-2026, ~7 months after the Sep-2025 SME IPO, replaced by Jay Gupta &amp; Associates to fill the casual vacancy -- an explicit HIGH CAUTION trigger per the project's red-flag rules, independent of the growth story</w:t>
      </w:r>
    </w:p>
    <w:p>
      <w:pPr>
        <w:pStyle w:val="ListParagraph"/>
        <w:numPr>
          <w:ilvl w:val="0"/>
          <w:numId w:val="1"/>
        </w:numPr>
        <w:spacing w:after="60"/>
      </w:pPr>
      <w:r>
        <w:t xml:space="preserve">FY26 operating cash flow was -Rs37cr despite Rs16cr reported net profit -- working-capital days ballooned from 108 (FY25) to 227 (FY26) and debtor days to 181, meaning growth is not converting to cash</w:t>
      </w:r>
    </w:p>
    <w:p>
      <w:pPr>
        <w:pStyle w:val="ListParagraph"/>
        <w:numPr>
          <w:ilvl w:val="0"/>
          <w:numId w:val="1"/>
        </w:numPr>
        <w:spacing w:after="60"/>
      </w:pPr>
      <w:r>
        <w:t xml:space="preserve">Two capital raises within a year (Sep-2025 IPO ~Rs42cr + Aug-2026 preferential allotment/warrants ~Rs59cr, further EGM approval Sep-2026) have diluted promoter holding from ~89% pre-IPO to ~63.8% -- a funding treadmill to cover the working-capital gap, not pure growth capex</w:t>
      </w:r>
    </w:p>
    <w:p>
      <w:pPr>
        <w:pStyle w:val="ListParagraph"/>
        <w:numPr>
          <w:ilvl w:val="0"/>
          <w:numId w:val="1"/>
        </w:numPr>
        <w:spacing w:after="60"/>
      </w:pPr>
      <w:r>
        <w:t xml:space="preserve">Four-box score computed at 2.5 (tailwind yes, tam yes, moat weak, valuation no -- 32x trailing P/E on decelerating growth is not cheap) independently lands in the 'neither' band even before the red flag is applied</w:t>
      </w:r>
    </w:p>
    <w:p>
      <w:pPr>
        <w:pStyle w:val="ListParagraph"/>
        <w:numPr>
          <w:ilvl w:val="0"/>
          <w:numId w:val="1"/>
        </w:numPr>
        <w:spacing w:after="60"/>
      </w:pPr>
      <w:r>
        <w:t xml:space="preserve">Growth itself is real and decelerating, not accelerating: revenue YoY +245% (FY24) -&gt; +95% (FY25) -&gt; +35% (FY26); FY27 guidance of 40-50% reacceleration is unconfirmed and rests on a thin, short public disclosure history</w:t>
      </w:r>
    </w:p>
    <w:p>
      <w:pPr>
        <w:pStyle w:val="ListParagraph"/>
        <w:numPr>
          <w:ilvl w:val="0"/>
          <w:numId w:val="1"/>
        </w:numPr>
        <w:spacing w:after="60"/>
      </w:pPr>
      <w:r>
        <w:t xml:space="preserve">Conviction capped at Low-Medium per the HIGH CAUTION rule; thesis_fit forced to neither -- revisit once the auditor transition settles and 2-3 quarters show working-capital normalization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2026-10-01T14:01:41.928Z</dcterms:created>
  <dcterms:modified xsi:type="dcterms:W3CDTF">2026-10-01T14:01:41.937Z</dcterms:modified>
</cp:coreProperties>
</file>

<file path=docProps/custom.xml><?xml version="1.0" encoding="utf-8"?>
<Properties xmlns="http://schemas.openxmlformats.org/officeDocument/2006/custom-properties" xmlns:vt="http://schemas.openxmlformats.org/officeDocument/2006/docPropsVTypes"/>
</file>