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spacing w:after="160"/>
      </w:pPr>
      <w:r>
        <w:rPr>
          <w:b/>
          <w:bCs/>
          <w:sz w:val="24"/>
          <w:szCs w:val="24"/>
        </w:rPr>
        <w:t xml:space="preserve">70. Gokaldas Exports Ltd</w:t>
      </w:r>
      <w:r>
        <w:rPr>
          <w:i/>
          <w:iCs/>
          <w:color w:val="666666"/>
          <w:sz w:val="20"/>
          <w:szCs w:val="20"/>
        </w:rPr>
        <w:t xml:space="preserve">  —  Apparel exporter riding tariff tailwinds; AGOA Dec 2026 extension risk</w:t>
      </w:r>
      <w:r>
        <w:rPr>
          <w:sz w:val="20"/>
          <w:szCs w:val="20"/>
        </w:rPr>
        <w:br/>
        <w:t xml:space="preserve">
Tariff tailwinds (U.S. Section 301, UK FTA) removed structural disadvantage; Q1 FY27 revenue +21% YoY (India +16%, Africa +45%). Guidance 15-20% FY27 growth; AGOA extension risk (expires Dec 2026) and wage inflation (Haryana +35%) are the watch. Capacity expansion (2,000-3,000 new machines, INR175-200 cr steady-state revenue add FY29) and BTPL fabric merger (target Q3 FY27) both live but execution-dependent. Valuation 32.5x P/E premium to peers justified only if tariffs + AGOA hold; downside if extension fails.</w:t>
      </w:r>
    </w:p>
    <w:p>
      <w:pPr>
        <w:spacing w:after="160"/>
      </w:pPr>
      <w:r>
        <w:rPr>
          <w:b/>
          <w:bCs/>
          <w:sz w:val="24"/>
          <w:szCs w:val="24"/>
        </w:rPr>
        <w:t xml:space="preserve">71. HDFC Asset Management Company Ltd</w:t>
      </w:r>
      <w:r>
        <w:rPr>
          <w:i/>
          <w:iCs/>
          <w:color w:val="666666"/>
          <w:sz w:val="20"/>
          <w:szCs w:val="20"/>
        </w:rPr>
        <w:t xml:space="preserve">  —  Alternatives growth (private credit, VC/PE) + SIP momentum; jury out on downturn durability</w:t>
      </w:r>
      <w:r>
        <w:rPr>
          <w:sz w:val="20"/>
          <w:szCs w:val="20"/>
        </w:rPr>
        <w:br/>
        <w:t xml:space="preserve">
Alternatives AUM at Rs 148 bn (+2.5x YoY, up from Rs 60 bn), private credit fund closed in Q1, 2nd VC/PE fund seeded by $50M global investor. SIF platform launched (H-SIF equity ex top-100 long-short fund near-term launch). Q1 FY27 revenue +14% YoY, PAT +12% YoY; 28% unique investor penetration, SIP flows +20% YoY. Jury still out on new-cohort durability over extended downturn, but alternatives scale path + SIP momentum are structural. Valuation 42.5x P/E on 12% growth is 3.5x multiple-to-growth, justified only if alternatives reach 5-10% AUM by FY29; peer AMCs typically 20-30x.</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72.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140. Zaggle_A platform to address pain points for enterprises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141. Gandhar Oil Refinery Ltd</w:t>
      </w:r>
      <w:r>
        <w:rPr>
          <w:i/>
          <w:iCs/>
          <w:color w:val="666666"/>
          <w:sz w:val="20"/>
          <w:szCs w:val="20"/>
        </w:rPr>
        <w:t xml:space="preserve">  —  Peak-cycle refinery margin play, watch for normalization</w:t>
      </w:r>
      <w:r>
        <w:rPr>
          <w:sz w:val="20"/>
          <w:szCs w:val="20"/>
        </w:rPr>
        <w:br/>
        <w:t xml:space="preserve">
Peak-cycle quarter: Q1 FY27 margin expansion (Rs 28,145/kl, 3.4x vs Q1 FY26) from geopolitical supply-chain disruption (Hormuz, Middle East). Management cautious on durability; historical EBITDA margin 5-8%. Even conservative 7-9% run-rate implies 12-15x forward fair value vs 8.1x current multiple, but cycle-peak timing + margin-reversion risk warrant tier-C monitoring.</w:t>
      </w:r>
    </w:p>
    <w:p>
      <w:pPr>
        <w:spacing w:after="160"/>
      </w:pPr>
      <w:r>
        <w:rPr>
          <w:b/>
          <w:bCs/>
          <w:sz w:val="24"/>
          <w:szCs w:val="24"/>
        </w:rPr>
        <w:t xml:space="preserve">142. AGI Greenpac Ltd</w:t>
      </w:r>
      <w:r>
        <w:rPr>
          <w:i/>
          <w:iCs/>
          <w:color w:val="666666"/>
          <w:sz w:val="20"/>
          <w:szCs w:val="20"/>
        </w:rPr>
        <w:t xml:space="preserve">  —  Glass-packaging tailwind + capex-backed ROCE expansion path</w:t>
      </w:r>
      <w:r>
        <w:rPr>
          <w:sz w:val="20"/>
          <w:szCs w:val="20"/>
        </w:rPr>
        <w:br/>
        <w:t xml:space="preserve">
Glass-packaging tailwind (e-commerce, FMCG) + capex-backed ROCE expansion (FY27 guidance 8-10% volume growth; FY28-FY29 new product capacity for higher-margin specialty glass, ROCE target 25%+). Q1 FY27 revenue +25% YoY, PAT +41% YoY; 14.2x P/E on 28% PAT growth is undemanding on near-term flow, but implies market pricing derating or mid-teens growth once capex lands. Neutral gap on fair value; watch input-cost inflation (soda ash, energy) and capex-to-payoff timing.</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r>
        <w:tc>
          <w:tcPr>
            <w:tcW w:type="dxa" w:w="2600"/>
          </w:tcPr>
          <w:p>
            <w:r>
              <w:rPr>
                <w:b/>
                <w:bCs/>
                <w:color w:val="B8860B"/>
              </w:rPr>
              <w:t xml:space="preserve">GV Electricals Ltd</w:t>
            </w:r>
          </w:p>
        </w:tc>
        <w:tc>
          <w:tcPr>
            <w:tcW w:type="dxa" w:w="6400"/>
          </w:tcPr>
          <w:p>
            <w:r>
              <w:rPr>
                <w:b w:val="false"/>
                <w:bCs w:val="false"/>
              </w:rPr>
              <w:t xml:space="preserve">HIGH CAUTION: working capital deterioration (debtor +33d, FCF negative despite profit). WC stabilization required before thesis can be reassessed.</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2026-10-05T14:14:57.113Z</dcterms:created>
  <dcterms:modified xsi:type="dcterms:W3CDTF">2026-10-05T14:14:57.113Z</dcterms:modified>
</cp:coreProperties>
</file>

<file path=docProps/custom.xml><?xml version="1.0" encoding="utf-8"?>
<Properties xmlns="http://schemas.openxmlformats.org/officeDocument/2006/custom-properties" xmlns:vt="http://schemas.openxmlformats.org/officeDocument/2006/docPropsVTypes"/>
</file>