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Garden Reach Shipbuilders &amp; Engineers Ltd (GRSE)</w:t>
      </w:r>
    </w:p>
    <w:p>
      <w:pPr>
        <w:pBdr>
          <w:bottom w:val="single" w:color="CCCCCC" w:sz="6" w:space="8"/>
        </w:pBdr>
        <w:spacing w:after="200"/>
      </w:pPr>
      <w:r>
        <w:rPr>
          <w:i/>
          <w:iCs/>
          <w:color w:val="666666"/>
          <w:sz w:val="22"/>
          <w:szCs w:val="22"/>
        </w:rPr>
        <w:t xml:space="preserve">Debt-free defence-PSU shipyard with 43% ROCE, freshly-minted Navratna status, and a Rs 33,000+ Cr Next-Generation Corvette award now CCS-cleared and awaiting signature - best-in-batch fundamentals, but already large-cap by size</w:t>
      </w:r>
    </w:p>
    <w:p>
      <w:pPr>
        <w:pStyle w:val="Heading1"/>
        <w:spacing w:after="120" w:before="280"/>
      </w:pPr>
      <w:r>
        <w:t xml:space="preserve">Business Overview</w:t>
      </w:r>
    </w:p>
    <w:p>
      <w:pPr>
        <w:spacing w:after="120"/>
      </w:pPr>
      <w:r>
        <w:t xml:space="preserve">GRSE is a Kolkata-based defence PSU shipyard supplying the Indian Navy and Coast Guard, with a growing non-defence shipbuilding order share (25% of order book now, up from 2% five years ago). Recent execution highlights include anti-submarine shallow watercraft (4 of 8 delivered ahead of schedule) and P17 Alpha frigates (2 of 3 delivered ahead of schedule).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27,628 Cr (18-Sep-2026)</w:t>
            </w:r>
          </w:p>
        </w:tc>
      </w:tr>
      <w:tr>
        <w:tc>
          <w:tcPr>
            <w:tcW w:type="dxa" w:w="3200"/>
            <w:shd w:fill="F2F2F2" w:val="clear"/>
          </w:tcPr>
          <w:p>
            <w:r>
              <w:rPr>
                <w:b/>
                <w:bCs/>
              </w:rPr>
              <w:t xml:space="preserve">ROE / ROCE</w:t>
            </w:r>
          </w:p>
        </w:tc>
        <w:tc>
          <w:tcPr>
            <w:tcW w:type="dxa" w:w="5800"/>
          </w:tcPr>
          <w:p>
            <w:r>
              <w:t xml:space="preserve">31.8% / 43.0% (FY26)</w:t>
            </w:r>
          </w:p>
        </w:tc>
      </w:tr>
      <w:tr>
        <w:tc>
          <w:tcPr>
            <w:tcW w:type="dxa" w:w="3200"/>
            <w:shd w:fill="F2F2F2" w:val="clear"/>
          </w:tcPr>
          <w:p>
            <w:r>
              <w:rPr>
                <w:b/>
                <w:bCs/>
              </w:rPr>
              <w:t xml:space="preserve">Revenue</w:t>
            </w:r>
          </w:p>
        </w:tc>
        <w:tc>
          <w:tcPr>
            <w:tcW w:type="dxa" w:w="5800"/>
          </w:tcPr>
          <w:p>
            <w:r>
              <w:t xml:space="preserve">Rs 7,002 Cr FY26 (+38% YoY); Q1 FY27 Rs 1,815 Cr (+39% YoY)</w:t>
            </w:r>
          </w:p>
        </w:tc>
      </w:tr>
      <w:tr>
        <w:tc>
          <w:tcPr>
            <w:tcW w:type="dxa" w:w="3200"/>
            <w:shd w:fill="F2F2F2" w:val="clear"/>
          </w:tcPr>
          <w:p>
            <w:r>
              <w:rPr>
                <w:b/>
                <w:bCs/>
              </w:rPr>
              <w:t xml:space="preserve">Net Profit</w:t>
            </w:r>
          </w:p>
        </w:tc>
        <w:tc>
          <w:tcPr>
            <w:tcW w:type="dxa" w:w="5800"/>
          </w:tcPr>
          <w:p>
            <w:r>
              <w:t xml:space="preserve">Rs 748 Cr FY26 (+42% YoY); Q1 FY27 Rs 173 Cr (+44% YoY)</w:t>
            </w:r>
          </w:p>
        </w:tc>
      </w:tr>
      <w:tr>
        <w:tc>
          <w:tcPr>
            <w:tcW w:type="dxa" w:w="3200"/>
            <w:shd w:fill="F2F2F2" w:val="clear"/>
          </w:tcPr>
          <w:p>
            <w:r>
              <w:rPr>
                <w:b/>
                <w:bCs/>
              </w:rPr>
              <w:t xml:space="preserve">Debt</w:t>
            </w:r>
          </w:p>
        </w:tc>
        <w:tc>
          <w:tcPr>
            <w:tcW w:type="dxa" w:w="5800"/>
          </w:tcPr>
          <w:p>
            <w:r>
              <w:t xml:space="preserve">Near debt-free (~Rs 37 Cr borrowings, Mar-2026)</w:t>
            </w:r>
          </w:p>
        </w:tc>
      </w:tr>
      <w:tr>
        <w:tc>
          <w:tcPr>
            <w:tcW w:type="dxa" w:w="3200"/>
            <w:shd w:fill="F2F2F2" w:val="clear"/>
          </w:tcPr>
          <w:p>
            <w:r>
              <w:rPr>
                <w:b/>
                <w:bCs/>
              </w:rPr>
              <w:t xml:space="preserve">Order book</w:t>
            </w:r>
          </w:p>
        </w:tc>
        <w:tc>
          <w:tcPr>
            <w:tcW w:type="dxa" w:w="5800"/>
          </w:tcPr>
          <w:p>
            <w:r>
              <w:t xml:space="preserve">Rs 13,596 Cr (Jun-2026; 44 platforms/11 projects) - a pending Rs 33,000-36,000 Cr Next-Gen Corvette award (CCS-approved, signing expected Q2 FY27) would roughly treble it</w:t>
            </w:r>
          </w:p>
        </w:tc>
      </w:tr>
      <w:tr>
        <w:tc>
          <w:tcPr>
            <w:tcW w:type="dxa" w:w="3200"/>
            <w:shd w:fill="F2F2F2" w:val="clear"/>
          </w:tcPr>
          <w:p>
            <w:r>
              <w:rPr>
                <w:b/>
                <w:bCs/>
              </w:rPr>
              <w:t xml:space="preserve">Valuation</w:t>
            </w:r>
          </w:p>
        </w:tc>
        <w:tc>
          <w:tcPr>
            <w:tcW w:type="dxa" w:w="5800"/>
          </w:tcPr>
          <w:p>
            <w:r>
              <w:t xml:space="preserve">P/E 34.5x, P/B 10.5x (18-Sep-2026) - already prices in continued high-30s% growth</w:t>
            </w:r>
          </w:p>
        </w:tc>
      </w:tr>
      <w:tr>
        <w:tc>
          <w:tcPr>
            <w:tcW w:type="dxa" w:w="3200"/>
            <w:shd w:fill="F2F2F2" w:val="clear"/>
          </w:tcPr>
          <w:p>
            <w:r>
              <w:rPr>
                <w:b/>
                <w:bCs/>
              </w:rPr>
              <w:t xml:space="preserve">52-week range</w:t>
            </w:r>
          </w:p>
        </w:tc>
        <w:tc>
          <w:tcPr>
            <w:tcW w:type="dxa" w:w="5800"/>
          </w:tcPr>
          <w:p>
            <w:r>
              <w:t xml:space="preserve">Rs 1,964 - 3,339</w:t>
            </w:r>
          </w:p>
        </w:tc>
      </w:tr>
    </w:tbl>
    <w:p>
      <w:pPr>
        <w:spacing w:after="100"/>
      </w:pPr>
    </w:p>
    <w:p>
      <w:pPr>
        <w:spacing w:after="120"/>
      </w:pPr>
      <w:r>
        <w:t xml:space="preserve">Exceptional capital efficiency (43% ROCE, 31.8% ROE) on a near debt-free balance sheet, with genuine execution behind it - FY26 revenue grew 38% to Rs7,002 Cr and PAT 42% to Rs748 Cr on a record 8 warship deliveries, and Q1 FY27 continued at the same high-30s% pace (revenue +39%, PAT +44%). GRSE was elevated to Navratna status in June 2026 (29th CPSE to achieve it), giving it materially greater capex/investment autonomy. The order book itself fell to Rs13,596 Cr (Jun-2026, first time below Rs15,000 Cr in a decade) - management frames this as fast execution rather than weak demand, and the framing is credible given the pipeline: a ~Rs33,000-36,000 Cr Next-Generation Corvette (NGC) award for 5 stealth corvettes has Cabinet Committee on Security approval and finalised commercial/technical terms, with formal signing expected in Q2 FY27 - though that is itself a ~2-quarter slip from the originally guided March-2026 signing (when management had targeted an ~Rs50,000 Cr order book by FY26-end). Revenue from NGC only starts H2 FY28, with meaningful contribution from FY29. The catch, as before, is size: at ~Rs27,628 Cr market cap and 34.5x trailing P/E / 10.5x P/B, this is already a large-cap trading on a full multiple, not a re-rating candidate.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2026-09-19.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screener.in/company/GRSE (valuation, shareholding, quarterly results)</w:t>
      </w:r>
    </w:p>
    <w:p>
      <w:pPr>
        <w:pStyle w:val="ListParagraph"/>
        <w:numPr>
          <w:ilvl w:val="0"/>
          <w:numId w:val="1"/>
        </w:numPr>
        <w:spacing w:after="60"/>
      </w:pPr>
      <w:r>
        <w:t xml:space="preserve">CARE Ratings rating rationale PDF, Jul-2026 (rating action, capex plans)</w:t>
      </w:r>
    </w:p>
    <w:p>
      <w:pPr>
        <w:pStyle w:val="ListParagraph"/>
        <w:numPr>
          <w:ilvl w:val="0"/>
          <w:numId w:val="1"/>
        </w:numPr>
        <w:spacing w:after="60"/>
      </w:pPr>
      <w:r>
        <w:t xml:space="preserve">idrw.org - GRSE confirms formal signing of $3.7bn Next-Generation Corvette contract expected Q2 FY27</w:t>
      </w:r>
    </w:p>
    <w:p>
      <w:pPr>
        <w:pStyle w:val="ListParagraph"/>
        <w:numPr>
          <w:ilvl w:val="0"/>
          <w:numId w:val="1"/>
        </w:numPr>
        <w:spacing w:after="60"/>
      </w:pPr>
      <w:r>
        <w:t xml:space="preserve">indiastrategic.in / indiandefensenews.in - NGC CCS approval and price-negotiation status, May-2026</w:t>
      </w:r>
    </w:p>
    <w:p>
      <w:pPr>
        <w:pStyle w:val="ListParagraph"/>
        <w:numPr>
          <w:ilvl w:val="0"/>
          <w:numId w:val="1"/>
        </w:numPr>
        <w:spacing w:after="60"/>
      </w:pPr>
      <w:r>
        <w:t xml:space="preserve">Business Standard / PSU Watch / Maritime Gateway - GRSE Navratna status, Jun-2026</w:t>
      </w:r>
    </w:p>
    <w:p>
      <w:pPr>
        <w:pStyle w:val="ListParagraph"/>
        <w:numPr>
          <w:ilvl w:val="0"/>
          <w:numId w:val="1"/>
        </w:numPr>
        <w:spacing w:after="60"/>
      </w:pPr>
      <w:r>
        <w:t xml:space="preserve">indianmasterminds.com / raksha-anirveda.com / investywise.com - Q1 FY27 and FY26 results coverage</w:t>
      </w:r>
    </w:p>
    <w:p>
      <w:pPr>
        <w:pStyle w:val="ListParagraph"/>
        <w:numPr>
          <w:ilvl w:val="0"/>
          <w:numId w:val="1"/>
        </w:numPr>
        <w:spacing w:after="60"/>
      </w:pPr>
      <w:r>
        <w:t xml:space="preserve">prysm.fi / angelone.in / tradebrains.in - order-book history and management order-book guidance (Rs40,000-50,000 Cr targets)</w:t>
      </w:r>
    </w:p>
    <w:p>
      <w:pPr>
        <w:spacing w:after="120"/>
      </w:pPr>
      <w:r>
        <w:rPr>
          <w:b/>
          <w:bCs/>
          <w:sz w:val="20"/>
          <w:szCs w:val="20"/>
        </w:rPr>
        <w:t xml:space="preserve">Annual-report findings (3-year view):</w:t>
      </w:r>
    </w:p>
    <w:p>
      <w:pPr>
        <w:pStyle w:val="ListParagraph"/>
        <w:numPr>
          <w:ilvl w:val="0"/>
          <w:numId w:val="1"/>
        </w:numPr>
        <w:spacing w:after="60"/>
      </w:pPr>
      <w:r>
        <w:t xml:space="preserve">FY26 revenue Rs7,002 Cr (+38% YoY), PAT Rs748 Cr (+42% YoY), record 8 warship deliveries</w:t>
      </w:r>
    </w:p>
    <w:p>
      <w:pPr>
        <w:pStyle w:val="ListParagraph"/>
        <w:numPr>
          <w:ilvl w:val="0"/>
          <w:numId w:val="1"/>
        </w:numPr>
        <w:spacing w:after="60"/>
      </w:pPr>
      <w:r>
        <w:t xml:space="preserve">Revenue grew from Rs1,754 Cr (FY22) to Rs7,002 Cr (FY26), PAT from Rs190 Cr to Rs748 Cr over the same period</w:t>
      </w:r>
    </w:p>
    <w:p>
      <w:pPr>
        <w:pStyle w:val="ListParagraph"/>
        <w:numPr>
          <w:ilvl w:val="0"/>
          <w:numId w:val="1"/>
        </w:numPr>
        <w:spacing w:after="60"/>
      </w:pPr>
      <w:r>
        <w:t xml:space="preserve">Near debt-free: borrowings ~Rs37 Cr as of Mar-2026</w:t>
      </w:r>
    </w:p>
    <w:p>
      <w:pPr>
        <w:pStyle w:val="ListParagraph"/>
        <w:numPr>
          <w:ilvl w:val="0"/>
          <w:numId w:val="1"/>
        </w:numPr>
        <w:spacing w:after="60"/>
      </w:pPr>
      <w:r>
        <w:t xml:space="preserve">Promoter (Government of India) holding stable at 74.50%, no pledge</w:t>
      </w:r>
    </w:p>
    <w:p>
      <w:pPr>
        <w:pStyle w:val="ListParagraph"/>
        <w:numPr>
          <w:ilvl w:val="0"/>
          <w:numId w:val="1"/>
        </w:numPr>
        <w:spacing w:after="60"/>
      </w:pPr>
      <w:r>
        <w:t xml:space="preserve">CARE Ratings (Jul-2026) flags major debt-funded capex plans in the medium term alongside continued strong liquidity from naval order advances</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FY26 revenue Rs1,310 Cr -&gt; Q2 Rs1,677 Cr -&gt; Q3 Rs1,896 Cr -&gt; Q4 Rs2,119 Cr -&gt; Q1 FY27 Rs1,815 Cr (+39% YoY)</w:t>
      </w:r>
    </w:p>
    <w:p>
      <w:pPr>
        <w:pStyle w:val="ListParagraph"/>
        <w:numPr>
          <w:ilvl w:val="0"/>
          <w:numId w:val="1"/>
        </w:numPr>
        <w:spacing w:after="60"/>
      </w:pPr>
      <w:r>
        <w:t xml:space="preserve">EBITDA margin lumpy: ~9% in Q1-Q3 FY26, ~17% in Q4 FY26 (screener-reported), consistent with milestone-based revenue recognition</w:t>
      </w:r>
    </w:p>
    <w:p>
      <w:pPr>
        <w:pStyle w:val="ListParagraph"/>
        <w:numPr>
          <w:ilvl w:val="0"/>
          <w:numId w:val="1"/>
        </w:numPr>
        <w:spacing w:after="60"/>
      </w:pPr>
      <w:r>
        <w:t xml:space="preserve">PAT: Q1 FY26 Rs120 Cr -&gt; Q4 FY26 Rs303 Cr -&gt; Q1 FY27 Rs173 Cr (+44% YoY)</w:t>
      </w:r>
    </w:p>
    <w:p>
      <w:pPr>
        <w:spacing w:after="120"/>
      </w:pPr>
      <w:r>
        <w:rPr>
          <w:b/>
          <w:bCs/>
          <w:sz w:val="20"/>
          <w:szCs w:val="20"/>
        </w:rPr>
        <w:t xml:space="preserve">Exchange announcements (last 6 months):</w:t>
      </w:r>
    </w:p>
    <w:p>
      <w:pPr>
        <w:pStyle w:val="ListParagraph"/>
        <w:numPr>
          <w:ilvl w:val="0"/>
          <w:numId w:val="1"/>
        </w:numPr>
        <w:spacing w:after="60"/>
      </w:pPr>
      <w:r>
        <w:t xml:space="preserve">Navratna status conferred 19-Jun-2026 (29th CPSE to achieve it)</w:t>
      </w:r>
    </w:p>
    <w:p>
      <w:pPr>
        <w:pStyle w:val="ListParagraph"/>
        <w:numPr>
          <w:ilvl w:val="0"/>
          <w:numId w:val="1"/>
        </w:numPr>
        <w:spacing w:after="60"/>
      </w:pPr>
      <w:r>
        <w:t xml:space="preserve">NGC (Next-Generation Corvette) program: CCS approval obtained, commercial/technical terms finalised; formal signing expected Q2 FY27 (slipped from an originally guided March-2026 target)</w:t>
      </w:r>
    </w:p>
    <w:p>
      <w:pPr>
        <w:pStyle w:val="ListParagraph"/>
        <w:numPr>
          <w:ilvl w:val="0"/>
          <w:numId w:val="1"/>
        </w:numPr>
        <w:spacing w:after="60"/>
      </w:pPr>
      <w:r>
        <w:t xml:space="preserve">ONGC order worth Rs1,032.07 Cr booked in Q2 FY27</w:t>
      </w:r>
    </w:p>
    <w:p>
      <w:pPr>
        <w:pStyle w:val="ListParagraph"/>
        <w:numPr>
          <w:ilvl w:val="0"/>
          <w:numId w:val="1"/>
        </w:numPr>
        <w:spacing w:after="60"/>
      </w:pPr>
      <w:r>
        <w:t xml:space="preserve">Order book fell to Rs13,596 Cr as of Jun-2026 (first time below Rs15,000 Cr in a decade) - management attributes this to a high execution rate rather than weak demand</w:t>
      </w:r>
    </w:p>
    <w:p>
      <w:pPr>
        <w:pStyle w:val="ListParagraph"/>
        <w:numPr>
          <w:ilvl w:val="0"/>
          <w:numId w:val="1"/>
        </w:numPr>
        <w:spacing w:after="60"/>
      </w:pPr>
      <w:r>
        <w:t xml:space="preserve">German client's Multi-Purpose Vessel export order expanded to 12 hybrid-propulsion vessels; 4th keel laid</w:t>
      </w:r>
    </w:p>
    <w:p>
      <w:pPr>
        <w:spacing w:after="120"/>
      </w:pPr>
      <w:r>
        <w:rPr>
          <w:b/>
          <w:bCs/>
          <w:sz w:val="20"/>
          <w:szCs w:val="20"/>
        </w:rPr>
        <w:t xml:space="preserve">Key new facts vs. the prior write-up:</w:t>
      </w:r>
    </w:p>
    <w:p>
      <w:pPr>
        <w:pStyle w:val="ListParagraph"/>
        <w:numPr>
          <w:ilvl w:val="0"/>
          <w:numId w:val="1"/>
        </w:numPr>
        <w:spacing w:after="60"/>
      </w:pPr>
      <w:r>
        <w:t xml:space="preserve">The Rs33,000-36,000 Cr NGC award has moved from 'expected' to CCS-approved with finalised terms since the prior light-lane pass - a material de-risking of the single biggest forward commitment</w:t>
      </w:r>
    </w:p>
    <w:p>
      <w:pPr>
        <w:pStyle w:val="ListParagraph"/>
        <w:numPr>
          <w:ilvl w:val="0"/>
          <w:numId w:val="1"/>
        </w:numPr>
        <w:spacing w:after="60"/>
      </w:pPr>
      <w:r>
        <w:t xml:space="preserve">Navratna status (Jun-2026) is new and materially raises capex/investment autonomy</w:t>
      </w:r>
    </w:p>
    <w:p>
      <w:pPr>
        <w:pStyle w:val="ListParagraph"/>
        <w:numPr>
          <w:ilvl w:val="0"/>
          <w:numId w:val="1"/>
        </w:numPr>
        <w:spacing w:after="60"/>
      </w:pPr>
      <w:r>
        <w:t xml:space="preserve">Management's own order-book guidance (Rs50,000 Cr by FY26-end via a March-2026 NGC signing) has already slipped ~2 quarters - a genuine, if modest, guidance-credibility ding</w:t>
      </w:r>
    </w:p>
    <w:p>
      <w:pPr>
        <w:pStyle w:val="ListParagraph"/>
        <w:numPr>
          <w:ilvl w:val="0"/>
          <w:numId w:val="1"/>
        </w:numPr>
        <w:spacing w:after="60"/>
      </w:pPr>
      <w:r>
        <w:t xml:space="preserve">Q1 FY27 results (Rs1,815 Cr revenue +39%, Rs173 Cr PAT +44%) confirm the growth rate is holding, not decelerating</w:t>
      </w:r>
    </w:p>
    <w:p>
      <w:pPr>
        <w:pStyle w:val="ListParagraph"/>
        <w:numPr>
          <w:ilvl w:val="0"/>
          <w:numId w:val="1"/>
        </w:numPr>
        <w:spacing w:after="60"/>
      </w:pPr>
      <w:r>
        <w:t xml:space="preserve">Valuation has re-rated to 34.5x P/E / 10.5x P/B, already pricing in continued high growth ahead of the NGC ramp</w:t>
      </w:r>
    </w:p>
    <w:p>
      <w:pPr>
        <w:spacing w:after="120"/>
      </w:pPr>
      <w:r>
        <w:rPr>
          <w:b/>
          <w:bCs/>
          <w:sz w:val="20"/>
          <w:szCs w:val="20"/>
        </w:rPr>
        <w:t xml:space="preserve">Open questions / what to watch:</w:t>
      </w:r>
    </w:p>
    <w:p>
      <w:pPr>
        <w:pStyle w:val="ListParagraph"/>
        <w:numPr>
          <w:ilvl w:val="0"/>
          <w:numId w:val="1"/>
        </w:numPr>
        <w:spacing w:after="60"/>
      </w:pPr>
      <w:r>
        <w:t xml:space="preserve">Precise annual ROCE/revenue-growth history year-by-year (FY22-FY25) was not cleanly sourced this pass, so the Coffee-Can track_record block is left unassessed rather than estimated</w:t>
      </w:r>
    </w:p>
    <w:p>
      <w:pPr>
        <w:pStyle w:val="ListParagraph"/>
        <w:numPr>
          <w:ilvl w:val="0"/>
          <w:numId w:val="1"/>
        </w:numPr>
        <w:spacing w:after="60"/>
      </w:pPr>
      <w:r>
        <w:t xml:space="preserve">Exact net-cash position (vs gross debt of ~Rs37 Cr) was not cleanly sourced - shipyards carry large customer-advance balances that complicate a simple net-debt read</w:t>
      </w:r>
    </w:p>
    <w:p>
      <w:pPr>
        <w:pStyle w:val="ListParagraph"/>
        <w:numPr>
          <w:ilvl w:val="0"/>
          <w:numId w:val="1"/>
        </w:numPr>
        <w:spacing w:after="60"/>
      </w:pPr>
      <w:r>
        <w:t xml:space="preserve">fcf_conversion_pct not sourced this pass - CFO/capex figures were not cleanly separable from open sources within budget</w:t>
      </w:r>
    </w:p>
    <w:p>
      <w:pPr>
        <w:pStyle w:val="ListParagraph"/>
        <w:numPr>
          <w:ilvl w:val="0"/>
          <w:numId w:val="1"/>
        </w:numPr>
        <w:spacing w:after="60"/>
      </w:pPr>
      <w:r>
        <w:t xml:space="preserve">Whether the NGC signing holds to the Q2 FY27 window or slips again is the single biggest open item for the thesis</w:t>
      </w:r>
    </w:p>
    <w:p>
      <w:pPr>
        <w:spacing w:after="120" w:before="120"/>
      </w:pPr>
      <w:r>
        <w:rPr>
          <w:b/>
          <w:bCs/>
          <w:sz w:val="20"/>
          <w:szCs w:val="20"/>
        </w:rPr>
        <w:t xml:space="preserve">Conviction impact: </w:t>
      </w:r>
      <w:r>
        <w:rPr>
          <w:sz w:val="20"/>
          <w:szCs w:val="20"/>
        </w:rPr>
        <w:t xml:space="preserve">Medium-High -&gt; High. The NGC award has moved from a target to a CCS-approved, terms-finalised near-certainty; Navratna status, sustained 38-44% YoY growth, and continued ahead-of-schedule execution all strengthen the quality case since the last (light-lane) pass. thesis_fit stays neither purely on size (large-cap protocol; four_box score 2.5, tam:no) - this is now a High-conviction 'Overall' name, not a 10x/100x thesis_fit candidate.</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Next-Generation Corvette (NGC) award - 5 stealth corvettes for the Indian Navy</w:t>
            </w:r>
          </w:p>
        </w:tc>
        <w:tc>
          <w:tcPr>
            <w:tcW w:type="dxa" w:w="2400"/>
          </w:tcPr>
          <w:p>
            <w:r>
              <w:rPr>
                <w:b w:val="false"/>
                <w:bCs w:val="false"/>
                <w:sz w:val="18"/>
                <w:szCs w:val="18"/>
              </w:rPr>
              <w:t xml:space="preserve">~Rs 33,000-36,000 Cr (GRSE's share of an ~Rs40,000 Cr 8-ship, 2-yard program); CCS-approved, commercial/technical terms finalised</w:t>
            </w:r>
          </w:p>
        </w:tc>
        <w:tc>
          <w:tcPr>
            <w:tcW w:type="dxa" w:w="900"/>
          </w:tcPr>
          <w:p>
            <w:r>
              <w:rPr>
                <w:b w:val="false"/>
                <w:bCs w:val="false"/>
                <w:sz w:val="18"/>
                <w:szCs w:val="18"/>
              </w:rPr>
              <w:t xml:space="preserve">6M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ONGC jetty/offshore work order</w:t>
            </w:r>
          </w:p>
        </w:tc>
        <w:tc>
          <w:tcPr>
            <w:tcW w:type="dxa" w:w="2400"/>
          </w:tcPr>
          <w:p>
            <w:r>
              <w:rPr>
                <w:b w:val="false"/>
                <w:bCs w:val="false"/>
                <w:sz w:val="18"/>
                <w:szCs w:val="18"/>
              </w:rPr>
              <w:t xml:space="preserve">Rs 1,032.07 Cr booked in Q2 FY27</w:t>
            </w:r>
          </w:p>
        </w:tc>
        <w:tc>
          <w:tcPr>
            <w:tcW w:type="dxa" w:w="900"/>
          </w:tcPr>
          <w:p>
            <w:r>
              <w:rPr>
                <w:b w:val="false"/>
                <w:bCs w:val="false"/>
                <w:sz w:val="18"/>
                <w:szCs w:val="18"/>
              </w:rPr>
              <w:t xml:space="preserve">3M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Export shipbuilding diversification - Multi-Purpose Vessel (MPV) program for a German client, expanded</w:t>
            </w:r>
          </w:p>
        </w:tc>
        <w:tc>
          <w:tcPr>
            <w:tcW w:type="dxa" w:w="2400"/>
          </w:tcPr>
          <w:p>
            <w:r>
              <w:rPr>
                <w:b w:val="false"/>
                <w:bCs w:val="false"/>
                <w:sz w:val="18"/>
                <w:szCs w:val="18"/>
              </w:rPr>
              <w:t xml:space="preserve">12 hybrid-propulsion vessels, 4th keel laid; GRSE's largest commercial export order to date</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Debt-funded capacity/infrastructure expansion enabled by Navratna autonomy</w:t>
            </w:r>
          </w:p>
        </w:tc>
        <w:tc>
          <w:tcPr>
            <w:tcW w:type="dxa" w:w="2400"/>
          </w:tcPr>
          <w:p>
            <w:r>
              <w:rPr>
                <w:b w:val="false"/>
                <w:bCs w:val="false"/>
                <w:sz w:val="18"/>
                <w:szCs w:val="18"/>
              </w:rPr>
              <w:t xml:space="preserve">Scale unspecified; CARE Ratings (Jul-2026) rating rationale flags major debt-funded capex plans in the medium term</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current order book execution (Rs13,596 Cr)</w:t>
      </w:r>
      <w:r>
        <w:rPr>
          <w:color w:val="666666"/>
          <w:sz w:val="20"/>
          <w:szCs w:val="20"/>
        </w:rPr>
        <w:t xml:space="preserve"> → </w:t>
      </w:r>
      <w:r>
        <w:rPr>
          <w:b w:val="false"/>
          <w:bCs w:val="false"/>
          <w:sz w:val="20"/>
          <w:szCs w:val="20"/>
        </w:rPr>
        <w:t xml:space="preserve">+ NGC award (~Rs33,000 Cr, pending signature)</w:t>
      </w:r>
      <w:r>
        <w:rPr>
          <w:color w:val="666666"/>
          <w:sz w:val="20"/>
          <w:szCs w:val="20"/>
        </w:rPr>
        <w:t xml:space="preserve"> → </w:t>
      </w:r>
      <w:r>
        <w:rPr>
          <w:b w:val="false"/>
          <w:bCs w:val="false"/>
          <w:sz w:val="20"/>
          <w:szCs w:val="20"/>
        </w:rPr>
        <w:t xml:space="preserve">revenue recognition ramp (NGC from H2 FY28)</w:t>
      </w:r>
      <w:r>
        <w:rPr>
          <w:color w:val="666666"/>
          <w:sz w:val="20"/>
          <w:szCs w:val="20"/>
        </w:rPr>
        <w:t xml:space="preserve"> → </w:t>
      </w:r>
      <w:r>
        <w:rPr>
          <w:b w:val="false"/>
          <w:bCs w:val="false"/>
          <w:sz w:val="20"/>
          <w:szCs w:val="20"/>
        </w:rPr>
        <w:t xml:space="preserve">operating leverage on Navratna-enabled scale</w:t>
      </w:r>
      <w:r>
        <w:rPr>
          <w:color w:val="666666"/>
          <w:sz w:val="20"/>
          <w:szCs w:val="20"/>
        </w:rPr>
        <w:t xml:space="preserve"> → </w:t>
      </w:r>
      <w:r>
        <w:rPr>
          <w:b w:val="false"/>
          <w:bCs w:val="false"/>
          <w:sz w:val="20"/>
          <w:szCs w:val="20"/>
        </w:rPr>
        <w:t xml:space="preserve">EBITDA margin (recent 9-17%, lumpy/milestone-driven)</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NGC contract formal signing - already slipped ~2 quarters from the originally guided March-2026 target.</w:t>
      </w:r>
    </w:p>
    <w:p>
      <w:pPr>
        <w:spacing w:after="120"/>
      </w:pPr>
      <w:r>
        <w:rPr>
          <w:color w:val="666666"/>
          <w:sz w:val="18"/>
          <w:szCs w:val="18"/>
        </w:rPr>
        <w:t xml:space="preserve">Operating leverage: yes - record deliveries and Navratna-enabled capex autonomy support further scale, though revenue recognition is milestone-based and quarter-to-quarter lumpy</w:t>
      </w:r>
    </w:p>
    <w:p>
      <w:pPr>
        <w:spacing w:after="120"/>
      </w:pPr>
      <w:r>
        <w:rPr>
          <w:color w:val="666666"/>
          <w:sz w:val="18"/>
          <w:szCs w:val="18"/>
        </w:rPr>
        <w:t xml:space="preserve">Evidenced: current order book execution; EBITDA margin; PAT. Still assumed: NGC award revenue ramp; operating leverage on Navratna scale.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2026-09-19</w:t>
            </w:r>
          </w:p>
        </w:tc>
      </w:tr>
      <w:tr>
        <w:tc>
          <w:tcPr>
            <w:tcW w:type="dxa" w:w="3200"/>
            <w:shd w:fill="F2F2F2" w:val="clear"/>
          </w:tcPr>
          <w:p>
            <w:r>
              <w:rPr>
                <w:b/>
                <w:bCs/>
              </w:rPr>
              <w:t xml:space="preserve">Price / multiple</w:t>
            </w:r>
          </w:p>
        </w:tc>
        <w:tc>
          <w:tcPr>
            <w:tcW w:type="dxa" w:w="5800"/>
          </w:tcPr>
          <w:p>
            <w:r>
              <w:t xml:space="preserve">Rs 2412 · 34.5x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~20-25% EPS CAGR FY26-28 needed to justify 34.5x at an 18-20x defence-PSU exit multiple; the current run-rate (38-44% YoY) already clears this without counting the NGC award, which only contributes from FY28-29</w:t>
            </w:r>
          </w:p>
        </w:tc>
      </w:tr>
      <w:tr>
        <w:tc>
          <w:tcPr>
            <w:tcW w:type="dxa" w:w="3200"/>
            <w:shd w:fill="F2F2F2" w:val="clear"/>
          </w:tcPr>
          <w:p>
            <w:r>
              <w:rPr>
                <w:b/>
                <w:bCs/>
              </w:rPr>
              <w:t xml:space="preserve">Our FY27</w:t>
            </w:r>
          </w:p>
        </w:tc>
        <w:tc>
          <w:tcPr>
            <w:tcW w:type="dxa" w:w="5800"/>
          </w:tcPr>
          <w:p>
            <w:r>
              <w:t xml:space="preserve">Continued high-20s-to-30s% revenue/PAT growth off the existing Rs13,596 Cr order book plus the new Rs1,032 Cr ONGC order; NGC not yet revenue-contributing</w:t>
            </w:r>
          </w:p>
        </w:tc>
      </w:tr>
      <w:tr>
        <w:tc>
          <w:tcPr>
            <w:tcW w:type="dxa" w:w="3200"/>
            <w:shd w:fill="F2F2F2" w:val="clear"/>
          </w:tcPr>
          <w:p>
            <w:r>
              <w:rPr>
                <w:b/>
                <w:bCs/>
              </w:rPr>
              <w:t xml:space="preserve">Our FY28</w:t>
            </w:r>
          </w:p>
        </w:tc>
        <w:tc>
          <w:tcPr>
            <w:tcW w:type="dxa" w:w="5800"/>
          </w:tcPr>
          <w:p>
            <w:r>
              <w:t xml:space="preserve">NGC contract (if signed on the expected Q2 FY27 timeline) begins contributing from H2 FY28, a second growth leg layered on the base shipbuilding business</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current 34.5x P/E likely already reflects continuation of the existing high-30s% growth rate; the NGC step-up (revenue only from FY28-29) is probably only partially in the price given it is not yet formally signed and has already slipped one timeline, so the market is not yet paying for the full NGC ramp</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Formal signing of the Rs 33,000-36,000 Cr Next-Generation Corvette contract (CCS-approved, terms already finalised)</w:t>
      </w:r>
      <w:r>
        <w:rPr>
          <w:color w:val="666666"/>
          <w:sz w:val="18"/>
          <w:szCs w:val="18"/>
        </w:rPr>
        <w:t xml:space="preserve"> (window ~3M from 2026-09-19; 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Indian naval/defence shipbuilding (Atmanirbharta)</w:t>
            </w:r>
          </w:p>
        </w:tc>
      </w:tr>
      <w:tr>
        <w:tc>
          <w:tcPr>
            <w:tcW w:type="dxa" w:w="3200"/>
            <w:shd w:fill="F2F2F2" w:val="clear"/>
          </w:tcPr>
          <w:p>
            <w:r>
              <w:rPr>
                <w:b/>
                <w:bCs/>
              </w:rPr>
              <w:t xml:space="preserve">This company's position</w:t>
            </w:r>
          </w:p>
        </w:tc>
        <w:tc>
          <w:tcPr>
            <w:tcW w:type="dxa" w:w="5800"/>
          </w:tcPr>
          <w:p>
            <w:r>
              <w:t xml:space="preserve">Navratna-status Navy-owned shipyard; one of a handful of yards qualified for frontline warship construction, now expanding into export commercial shipbuilding</w:t>
            </w:r>
          </w:p>
        </w:tc>
      </w:tr>
      <w:tr>
        <w:tc>
          <w:tcPr>
            <w:tcW w:type="dxa" w:w="3200"/>
            <w:shd w:fill="F2F2F2" w:val="clear"/>
          </w:tcPr>
          <w:p>
            <w:r>
              <w:rPr>
                <w:b/>
                <w:bCs/>
              </w:rPr>
              <w:t xml:space="preserve">Bottleneck node (pricing power)</w:t>
            </w:r>
          </w:p>
        </w:tc>
        <w:tc>
          <w:tcPr>
            <w:tcW w:type="dxa" w:w="5800"/>
          </w:tcPr>
          <w:p>
            <w:r>
              <w:t xml:space="preserve">yard capacity/dry-dock slots and CCS-approval cycles for mega-orders (the NGC delay itself illustrates this)</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Mazagon Dock Shipbuilders, Cochin Shipyard, Goa Shipyard</w:t>
            </w:r>
          </w:p>
        </w:tc>
      </w:tr>
    </w:tbl>
    <w:p>
      <w:pPr>
        <w:spacing w:after="120"/>
      </w:pPr>
      <w:r>
        <w:rPr>
          <w:color w:val="666666"/>
          <w:sz w:val="18"/>
          <w:szCs w:val="18"/>
        </w:rPr>
        <w:t xml:space="preserve">Effectively a 4-5 yard oligopoly for major Indian Navy orders, with government directing large programs to a limited, capacity-adding set of yards under Atmanirbharta. GRSE differentiates via corvette/OPV-class expertise and now a genuine export order book (German MPV program).</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scale/execution leverage on record deliveries (8 warships in FY26); milestone-based revenue recognition causing quarterly margin lumpiness (screener-reported ~9% in three of the last four quarters, ~17% in Q4 FY26); ~Rs301 Cr of other income (per screener) supports reported PAT alongside operating performance.</w:t>
      </w:r>
    </w:p>
    <w:p>
      <w:pPr>
        <w:spacing w:after="120"/>
      </w:pPr>
      <w:r>
        <w:rPr>
          <w:color w:val="666666"/>
          <w:sz w:val="18"/>
          <w:szCs w:val="18"/>
        </w:rPr>
        <w:t xml:space="preserve">The Q4 FY26 ~17% EBITDA margin print is well above the ~9% margin in the prior three quarters shown; shipbuilding revenue recognition is milestone/delivery-driven, so a defensible through-cycle margin is probably closer to the 9-12% range rather than the Q4 spike.</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FY25 ~Rs5,073 Cr (derived from the stated 38% YoY FY26 growth) -&gt; FY26 Rs7,002 Cr (+38%, PAT +42% to Rs748 Cr) -&gt; Q1 FY27 Rs1,815 Cr (+39% YoY, PAT +44% to Rs173 Cr) - a sustained, not accelerating or decelerating, high-30s-to-40s% growth rate across the last several reported periods.</w:t>
      </w:r>
    </w:p>
    <w:p>
      <w:pPr>
        <w:spacing w:after="120"/>
      </w:pPr>
      <w:r>
        <w:rPr>
          <w:color w:val="666666"/>
          <w:sz w:val="18"/>
          <w:szCs w:val="18"/>
        </w:rPr>
        <w:t xml:space="preserve">Reverse P/E: At 34.5x trailing P/E, GRSE needs roughly 20-25% EPS CAGR FY26-28 to justify the multiple at an 18-20x defence-PSU exit; the current 38-44% YoY run-rate comfortably clears that today, but that run-rate is off the existing order book - the NGC step-up isn't in these numbers yet since its revenue only starts H2 FY28.</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Reinvesting into capacity/dry-dock infrastructure ahead of the Navratna-enabled larger capex envelope; no unrelated diversification identified; PSU profile with high (43%) ROCE sustained through a rapid scale-up (revenue ~4x from FY22 to FY26). (disciplined)</w:t>
            </w:r>
          </w:p>
        </w:tc>
      </w:tr>
      <w:tr>
        <w:tc>
          <w:tcPr>
            <w:tcW w:type="dxa" w:w="3200"/>
            <w:shd w:fill="F2F2F2" w:val="clear"/>
          </w:tcPr>
          <w:p>
            <w:r>
              <w:rPr>
                <w:b/>
                <w:bCs/>
              </w:rPr>
              <w:t xml:space="preserve">Related-party trend</w:t>
            </w:r>
          </w:p>
        </w:tc>
        <w:tc>
          <w:tcPr>
            <w:tcW w:type="dxa" w:w="5800"/>
          </w:tcPr>
          <w:p>
            <w:r>
              <w:t xml:space="preserve">clean</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move up the value chain: from patrol vessels to advanced P17A stealth frigates and ASW shallow-water craft, and now positioned to execute the top-of-class Rs33,000+ Cr NGC stealth-corvette program plus a 12-vessel hybrid-propulsion export order for a German client - a genuine widening of both product complexity and export/non-defence mix (25% of order book now vs 2% five years ago).</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43% (improving)</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pStyle w:val="Heading1"/>
        <w:spacing w:after="120" w:before="280"/>
      </w:pPr>
      <w:r>
        <w:t xml:space="preserve">Technical Read (Weekly / Monthly MACD + Bollinger Bands, or RSI/CCI/Williams %R proxy)</w:t>
      </w:r>
    </w:p>
    <w:p>
      <w:pPr>
        <w:spacing w:after="120"/>
      </w:pPr>
      <w:r>
        <w:t xml:space="preserve">Not independently pulled this pass; 52-week range Rs1,964-3,339, price ~Rs2,412 as of 18-Sep-2026 - mid-range, off the highs after the order-book-fall headline earlier in 2026.</w:t>
      </w:r>
    </w:p>
    <w:p>
      <w:pPr>
        <w:pStyle w:val="Heading1"/>
        <w:spacing w:after="120" w:before="280"/>
      </w:pPr>
      <w:r>
        <w:t xml:space="preserve">ValuePickr Community Signal</w:t>
      </w:r>
    </w:p>
    <w:p>
      <w:pPr>
        <w:spacing w:after="120"/>
      </w:pPr>
      <w:r>
        <w:t xml:space="preserve">Very small, new thread (5 posts, opened May 2026) but with a well-researched opening post and active, invested trusted-adjacent posters. No controversy or debate - purely a growing-conviction, execution-tracking thread so far.</w:t>
      </w:r>
    </w:p>
    <w:p>
      <w:pPr>
        <w:spacing w:after="120"/>
      </w:pPr>
      <w:r>
        <w:rPr>
          <w:b/>
          <w:bCs/>
          <w:sz w:val="20"/>
          <w:szCs w:val="20"/>
        </w:rPr>
        <w:t xml:space="preserve">High-conviction call from a top contributor: </w:t>
      </w:r>
      <w:r>
        <w:rPr>
          <w:sz w:val="20"/>
          <w:szCs w:val="20"/>
        </w:rPr>
        <w:t xml:space="preserve">kbpanara (invested, 'adding time to time') and vivek_17 ('Invested and tracking closely') both post as invested trackers rather than skeptics; no bear case surfaced yet in the thread.</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 — Vivek_6954</w:t>
      </w:r>
      <w:r>
        <w:rPr>
          <w:i/>
          <w:iCs/>
          <w:color w:val="666666"/>
          <w:sz w:val="18"/>
          <w:szCs w:val="18"/>
        </w:rPr>
        <w:t xml:space="preserve"> (Vivek Gautam Portfolio)</w:t>
      </w:r>
      <w:r>
        <w:rPr>
          <w:sz w:val="20"/>
          <w:szCs w:val="20"/>
        </w:rPr>
        <w:br/>
        <w:t xml:space="preserve">: "Recently added GRSE" (post #1222); "Booked good profits in GRSE... Rest holding on" (post #1223) - a trade-and-partial-profit-booking pattern rather than a top-holding conviction call. Source of this stock's trusted-thread queueing (high, not very-high, strength).</w:t>
      </w:r>
    </w:p>
    <w:p>
      <w:pPr>
        <w:pStyle w:val="Heading1"/>
        <w:spacing w:after="120" w:before="280"/>
      </w:pPr>
      <w:r>
        <w:t xml:space="preserve">BSE Corporate Actions / Other Red Flags</w:t>
      </w:r>
    </w:p>
    <w:p>
      <w:pPr>
        <w:spacing w:after="120"/>
      </w:pPr>
      <w:r>
        <w:t xml:space="preserve">No red-flag corporate actions found. As a defence PSU, order flow is government-driven with typical PSU execution-timeline and single-customer-concentration considerations rather than solvency or governance red flags. Promoter (Government of India / Ministry of Defence) holding stable at 74.50%, no pledge.</w:t>
      </w:r>
    </w:p>
    <w:p>
      <w:pPr>
        <w:pStyle w:val="Heading1"/>
        <w:spacing w:after="120" w:before="280"/>
      </w:pPr>
      <w:r>
        <w:t xml:space="preserve">Bull Case</w:t>
      </w:r>
    </w:p>
    <w:p>
      <w:pPr>
        <w:pStyle w:val="ListParagraph"/>
        <w:numPr>
          <w:ilvl w:val="0"/>
          <w:numId w:val="1"/>
        </w:numPr>
        <w:spacing w:after="60"/>
      </w:pPr>
      <w:r>
        <w:t xml:space="preserve">43% ROCE / 31.8% ROE on a near debt-free balance sheet, with FY26 revenue +38% and PAT +42% backed by real execution (record 8 warship deliveries, several ahead of schedule)</w:t>
      </w:r>
    </w:p>
    <w:p>
      <w:pPr>
        <w:pStyle w:val="ListParagraph"/>
        <w:numPr>
          <w:ilvl w:val="0"/>
          <w:numId w:val="1"/>
        </w:numPr>
        <w:spacing w:after="60"/>
      </w:pPr>
      <w:r>
        <w:t xml:space="preserve">Elevated to Navratna status in June 2026 (29th CPSE) - materially greater capex/investment autonomy just as the order pipeline is about to step up</w:t>
      </w:r>
    </w:p>
    <w:p>
      <w:pPr>
        <w:pStyle w:val="ListParagraph"/>
        <w:numPr>
          <w:ilvl w:val="0"/>
          <w:numId w:val="1"/>
        </w:numPr>
        <w:spacing w:after="60"/>
      </w:pPr>
      <w:r>
        <w:t xml:space="preserve">Next-Generation Corvette award (~Rs33,000-36,000 Cr, 5 stealth corvettes) is CCS-approved with commercial/technical terms finalised - effectively a near-certain, not speculative, forward order, expected to formally sign in Q2 FY27</w:t>
      </w:r>
    </w:p>
    <w:p>
      <w:pPr>
        <w:pStyle w:val="ListParagraph"/>
        <w:numPr>
          <w:ilvl w:val="0"/>
          <w:numId w:val="1"/>
        </w:numPr>
        <w:spacing w:after="60"/>
      </w:pPr>
      <w:r>
        <w:t xml:space="preserve">Diversifying book: non-defence/export share up from 2% to 25% of order book over five years, including a 12-vessel hybrid-propulsion Multi-Purpose Vessel export program for a German client (largest commercial export order to date)</w:t>
      </w:r>
    </w:p>
    <w:p>
      <w:pPr>
        <w:pStyle w:val="ListParagraph"/>
        <w:numPr>
          <w:ilvl w:val="0"/>
          <w:numId w:val="1"/>
        </w:numPr>
        <w:spacing w:after="60"/>
      </w:pPr>
      <w:r>
        <w:t xml:space="preserve">India's naval/Atmanirbharta shipbuilding push is a genuine, multi-year structural tailwind, and GRSE is one of only a handful of yards qualified for frontline warship construction</w:t>
      </w:r>
    </w:p>
    <w:p>
      <w:pPr>
        <w:pStyle w:val="Heading1"/>
        <w:spacing w:after="120" w:before="280"/>
      </w:pPr>
      <w:r>
        <w:t xml:space="preserve">Bear Case / Key Risks</w:t>
      </w:r>
    </w:p>
    <w:p>
      <w:pPr>
        <w:pStyle w:val="ListParagraph"/>
        <w:numPr>
          <w:ilvl w:val="0"/>
          <w:numId w:val="1"/>
        </w:numPr>
        <w:spacing w:after="60"/>
      </w:pPr>
      <w:r>
        <w:t xml:space="preserve">At ~Rs27,628 Cr and already large-cap, a 10x-in-2-3-years or 100x-in-10-years move is not mathematically plausible regardless of execution quality - the same size ceiling that applies to Force Motors applies here</w:t>
      </w:r>
    </w:p>
    <w:p>
      <w:pPr>
        <w:pStyle w:val="ListParagraph"/>
        <w:numPr>
          <w:ilvl w:val="0"/>
          <w:numId w:val="1"/>
        </w:numPr>
        <w:spacing w:after="60"/>
      </w:pPr>
      <w:r>
        <w:t xml:space="preserve">Valuation is already full: 34.5x trailing P/E and 10.5x P/B price in continued high-30s% growth even before the NGC step-up, which does not contribute revenue until H2 FY28-FY29</w:t>
      </w:r>
    </w:p>
    <w:p>
      <w:pPr>
        <w:pStyle w:val="ListParagraph"/>
        <w:numPr>
          <w:ilvl w:val="0"/>
          <w:numId w:val="1"/>
        </w:numPr>
        <w:spacing w:after="60"/>
      </w:pPr>
      <w:r>
        <w:t xml:space="preserve">Management's own order-book guidance has already slipped once - a ~Rs50,000 Cr order book was targeted by FY26-end contingent on NGC signing by March 2026; NGC signing has since moved to Q2 FY27, a ~2-quarter delay on a single-point-of-failure commitment</w:t>
      </w:r>
    </w:p>
    <w:p>
      <w:pPr>
        <w:pStyle w:val="ListParagraph"/>
        <w:numPr>
          <w:ilvl w:val="0"/>
          <w:numId w:val="1"/>
        </w:numPr>
        <w:spacing w:after="60"/>
      </w:pPr>
      <w:r>
        <w:t xml:space="preserve">Debtor days rose from 34 to 63.6 and reported PAT includes ~Rs301 Cr of other income - both are earnings-quality watch items, not yet red flags</w:t>
      </w:r>
    </w:p>
    <w:p>
      <w:pPr>
        <w:pStyle w:val="ListParagraph"/>
        <w:numPr>
          <w:ilvl w:val="0"/>
          <w:numId w:val="1"/>
        </w:numPr>
        <w:spacing w:after="60"/>
      </w:pPr>
      <w:r>
        <w:t xml:space="preserve">PSU order timing and government budget/approval cycles (illustrated by the NGC delay itself) introduce lumpiness that isn't fully visible yet in this very young ValuePickr thread</w:t>
      </w:r>
    </w:p>
    <w:p>
      <w:pPr>
        <w:pStyle w:val="ListParagraph"/>
        <w:numPr>
          <w:ilvl w:val="0"/>
          <w:numId w:val="1"/>
        </w:numPr>
        <w:spacing w:after="60"/>
      </w:pPr>
      <w:r>
        <w:t xml:space="preserve">Vivek_6954's trusted-thread post shows partial profit-booking rather than a sustained top-holding stance, a milder trusted signal than a very-high case</w:t>
      </w:r>
    </w:p>
    <w:p>
      <w:pPr>
        <w:pStyle w:val="Heading1"/>
        <w:spacing w:after="120" w:before="280"/>
      </w:pPr>
      <w:r>
        <w:t xml:space="preserve">Market-Cap Tier (informational — not a gate in this project)</w:t>
      </w:r>
    </w:p>
    <w:p>
      <w:pPr>
        <w:spacing w:after="120"/>
      </w:pPr>
      <w:r>
        <w:rPr>
          <w:b/>
          <w:bCs/>
        </w:rPr>
        <w:t xml:space="preserve">Large-cap (~Rs 27,628 Cr, Sep-2026)</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no · moat: yes · valuation: weak  (score 2.5 / 4)</w:t>
      </w:r>
    </w:p>
    <w:p>
      <w:pPr>
        <w:spacing w:after="120"/>
      </w:pPr>
      <w:r>
        <w:rPr>
          <w:i/>
          <w:iCs/>
          <w:color w:val="666666"/>
          <w:sz w:val="20"/>
          <w:szCs w:val="20"/>
        </w:rPr>
        <w:t xml:space="preserve">Naval/Atmanirbharta shipbuilding is a real structural tailwind, reinforced by the NGC award, the ONGC order, and export diversification. PSU-shipyard positioning (Navratna status, one of a handful of Navy-qualified yards, 43% ROCE, ahead-of-schedule execution) is a genuine moat. Explicit size math (~Rs27,628cr, already large-cap) rules out tam regardless of pipeline strength. Valuation is weak, not yes - 34.5x P/E / 10.5x P/B already price in continued high growth. Score 2.5 stays below the 3.0 threshold; the large-cap protocol means no written exception is available here, so thesis_fit remains neither even though this is a legitimate High-conviction 'Overall' name.</w:t>
      </w:r>
    </w:p>
    <w:p>
      <w:pPr>
        <w:pStyle w:val="Heading1"/>
        <w:spacing w:after="120" w:before="280"/>
      </w:pPr>
      <w:r>
        <w:t xml:space="preserve">Verdict</w:t>
      </w:r>
    </w:p>
    <w:p>
      <w:pPr>
        <w:spacing w:after="120"/>
      </w:pPr>
      <w:r>
        <w:rPr>
          <w:b/>
          <w:bCs/>
          <w:sz w:val="24"/>
          <w:szCs w:val="24"/>
        </w:rPr>
        <w:t xml:space="preserve">Best-in-batch fundamentals plus a near-certain Rs33,000+ Cr order make this an elite PSU compounder - but size alone caps thesis_fit, and it's already a High-conviction 'Overall' name, not a 10x/100x one</w:t>
      </w:r>
    </w:p>
    <w:p>
      <w:pPr>
        <w:pStyle w:val="ListParagraph"/>
        <w:numPr>
          <w:ilvl w:val="0"/>
          <w:numId w:val="1"/>
        </w:numPr>
        <w:spacing w:after="60"/>
      </w:pPr>
      <w:r>
        <w:t xml:space="preserve">43% ROCE, 31.8% ROE, near debt-free, and Navratna status place GRSE among the strongest fundamentals profiles in this project regardless of size</w:t>
      </w:r>
    </w:p>
    <w:p>
      <w:pPr>
        <w:pStyle w:val="ListParagraph"/>
        <w:numPr>
          <w:ilvl w:val="0"/>
          <w:numId w:val="1"/>
        </w:numPr>
        <w:spacing w:after="60"/>
      </w:pPr>
      <w:r>
        <w:t xml:space="preserve">The Next-Generation Corvette award is now CCS-approved with terms finalised - a thesis-critical forward commitment that has de-risked considerably since the last pass, even though its own signing timeline has already slipped once</w:t>
      </w:r>
    </w:p>
    <w:p>
      <w:pPr>
        <w:pStyle w:val="ListParagraph"/>
        <w:numPr>
          <w:ilvl w:val="0"/>
          <w:numId w:val="1"/>
        </w:numPr>
        <w:spacing w:after="60"/>
      </w:pPr>
      <w:r>
        <w:t xml:space="preserve">At ~Rs27,628 Cr market cap and 34.5x P/E, GRSE has already crossed into large-cap territory and the multiple already prices in continued high growth - the same size math that rules out Force Motors applies here, so thesis_fit stays neither on size grounds regardless of the strong four_box inputs (tailwind yes, moat yes)</w:t>
      </w:r>
    </w:p>
    <w:p>
      <w:pPr>
        <w:pStyle w:val="ListParagraph"/>
        <w:numPr>
          <w:ilvl w:val="0"/>
          <w:numId w:val="1"/>
        </w:numPr>
        <w:spacing w:after="60"/>
      </w:pPr>
      <w:r>
        <w:t xml:space="preserve">Given the quality and de-risked forward pipeline, this is upgraded to High conviction as an 'Overall' confidence-list name even though it cannot qualify for the project's 10x/100x thesis_fit labels</w:t>
      </w:r>
    </w:p>
    <w:p>
      <w:pPr>
        <w:pStyle w:val="ListParagraph"/>
        <w:numPr>
          <w:ilvl w:val="0"/>
          <w:numId w:val="1"/>
        </w:numPr>
        <w:spacing w:after="60"/>
      </w:pPr>
      <w:r>
        <w:t xml:space="preserve">Not flagged for 30-day revisit given thesis_fit is 'neither' on size grounds and no near-term catalyst changes that math</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2026-09-19T04:01:05.818Z</dcterms:created>
  <dcterms:modified xsi:type="dcterms:W3CDTF">2026-09-19T04:01:05.822Z</dcterms:modified>
</cp:coreProperties>
</file>

<file path=docProps/custom.xml><?xml version="1.0" encoding="utf-8"?>
<Properties xmlns="http://schemas.openxmlformats.org/officeDocument/2006/custom-properties" xmlns:vt="http://schemas.openxmlformats.org/officeDocument/2006/docPropsVTypes"/>
</file>