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Supreme Power Equipment Ltd</w:t>
      </w:r>
    </w:p>
    <w:p>
      <w:pPr>
        <w:pBdr>
          <w:bottom w:val="single" w:color="CCCCCC" w:sz="6" w:space="8"/>
        </w:pBdr>
        <w:spacing w:after="200"/>
      </w:pPr>
      <w:r>
        <w:rPr>
          <w:i/>
          <w:iCs/>
          <w:color w:val="666666"/>
          <w:sz w:val="22"/>
          <w:szCs w:val="22"/>
        </w:rPr>
        <w:t xml:space="preserve">Debt-free small-cap transformer manufacturer (power/generator/windmill transformers, Chennai) riding the grid-capex and renewables tailwind, mid-way through a 3.6x capacity expansion (2,500 -&gt; 9,000 MVA, Kanpur facility ~95% complete) with an order book at ~2x conservative FY27 revenue guidance - real execution but PAT growth is lagging revenue growth on new-plant overhead absorption, and moat vs the established transformer-maker peer set is still unclear beyond a 220kV positioning niche.</w:t>
      </w:r>
    </w:p>
    <w:p>
      <w:pPr>
        <w:pStyle w:val="Heading1"/>
        <w:spacing w:after="120" w:before="280"/>
      </w:pPr>
      <w:r>
        <w:t xml:space="preserve">Business Overview</w:t>
      </w:r>
    </w:p>
    <w:p>
      <w:pPr>
        <w:spacing w:after="120"/>
      </w:pPr>
      <w:r>
        <w:t xml:space="preserve">Incorporated 1994, Supreme Power Equipment manufactures, upgrades and renovates power transformers, generator transformers and windmill/wind-turbine transformers, serving India's power-sector capex and renewables buildout, based in Chennai with a new manufacturing facility in Kanpur. Seeded via untrusted X triage (@rdkriplani, bullish, medium conviction,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518-555 Cr</w:t>
            </w:r>
          </w:p>
        </w:tc>
      </w:tr>
      <w:tr>
        <w:tc>
          <w:tcPr>
            <w:tcW w:type="dxa" w:w="3200"/>
            <w:shd w:fill="F2F2F2" w:val="clear"/>
          </w:tcPr>
          <w:p>
            <w:r>
              <w:rPr>
                <w:b/>
                <w:bCs/>
              </w:rPr>
              <w:t xml:space="preserve">Price / 52-wk range</w:t>
            </w:r>
          </w:p>
        </w:tc>
        <w:tc>
          <w:tcPr>
            <w:tcW w:type="dxa" w:w="5800"/>
          </w:tcPr>
          <w:p>
            <w:r>
              <w:t xml:space="preserve">~Rs 207 / Rs 130.55 - Rs 291.35</w:t>
            </w:r>
          </w:p>
        </w:tc>
      </w:tr>
      <w:tr>
        <w:tc>
          <w:tcPr>
            <w:tcW w:type="dxa" w:w="3200"/>
            <w:shd w:fill="F2F2F2" w:val="clear"/>
          </w:tcPr>
          <w:p>
            <w:r>
              <w:rPr>
                <w:b/>
                <w:bCs/>
              </w:rPr>
              <w:t xml:space="preserve">ROCE / ROE</w:t>
            </w:r>
          </w:p>
        </w:tc>
        <w:tc>
          <w:tcPr>
            <w:tcW w:type="dxa" w:w="5800"/>
          </w:tcPr>
          <w:p>
            <w:r>
              <w:t xml:space="preserve">ROCE ~21.5% (screener FY26); ROE ~19.4% latest yr / ~22.6% 3-yr avg (sources show a range up to ROCE 29.4% depending on window)</w:t>
            </w:r>
          </w:p>
        </w:tc>
      </w:tr>
      <w:tr>
        <w:tc>
          <w:tcPr>
            <w:tcW w:type="dxa" w:w="3200"/>
            <w:shd w:fill="F2F2F2" w:val="clear"/>
          </w:tcPr>
          <w:p>
            <w:r>
              <w:rPr>
                <w:b/>
                <w:bCs/>
              </w:rPr>
              <w:t xml:space="preserve">Revenue growth</w:t>
            </w:r>
          </w:p>
        </w:tc>
        <w:tc>
          <w:tcPr>
            <w:tcW w:type="dxa" w:w="5800"/>
          </w:tcPr>
          <w:p>
            <w:r>
              <w:t xml:space="preserve">FY26 revenue from ops Rs 190.08 Cr vs Rs 144.80 Cr FY25 (+31.3%); 3-yr sales CAGR ~36%, 5-yr ~40%</w:t>
            </w:r>
          </w:p>
        </w:tc>
      </w:tr>
      <w:tr>
        <w:tc>
          <w:tcPr>
            <w:tcW w:type="dxa" w:w="3200"/>
            <w:shd w:fill="F2F2F2" w:val="clear"/>
          </w:tcPr>
          <w:p>
            <w:r>
              <w:rPr>
                <w:b/>
                <w:bCs/>
              </w:rPr>
              <w:t xml:space="preserve">Profit growth</w:t>
            </w:r>
          </w:p>
        </w:tc>
        <w:tc>
          <w:tcPr>
            <w:tcW w:type="dxa" w:w="5800"/>
          </w:tcPr>
          <w:p>
            <w:r>
              <w:t xml:space="preserve">FY26 PAT Rs 20.44 Cr vs Rs 18.60 Cr FY25 (+9.9%) - profit growth materially lagging revenue growth (3-yr profit CAGR ~24% vs sales ~36%), driven by new-plant (Kanpur) overhead absorption during ramp-up</w:t>
            </w:r>
          </w:p>
        </w:tc>
      </w:tr>
      <w:tr>
        <w:tc>
          <w:tcPr>
            <w:tcW w:type="dxa" w:w="3200"/>
            <w:shd w:fill="F2F2F2" w:val="clear"/>
          </w:tcPr>
          <w:p>
            <w:r>
              <w:rPr>
                <w:b/>
                <w:bCs/>
              </w:rPr>
              <w:t xml:space="preserve">Debt</w:t>
            </w:r>
          </w:p>
        </w:tc>
        <w:tc>
          <w:tcPr>
            <w:tcW w:type="dxa" w:w="5800"/>
          </w:tcPr>
          <w:p>
            <w:r>
              <w:t xml:space="preserve">D/E ~0.08-0.085x (borrowings ~Rs 46-72 Cr vs equity ~Rs 118 Cr) - near debt-free, more cash than total debt</w:t>
            </w:r>
          </w:p>
        </w:tc>
      </w:tr>
      <w:tr>
        <w:tc>
          <w:tcPr>
            <w:tcW w:type="dxa" w:w="3200"/>
            <w:shd w:fill="F2F2F2" w:val="clear"/>
          </w:tcPr>
          <w:p>
            <w:r>
              <w:rPr>
                <w:b/>
                <w:bCs/>
              </w:rPr>
              <w:t xml:space="preserve">Valuation</w:t>
            </w:r>
          </w:p>
        </w:tc>
        <w:tc>
          <w:tcPr>
            <w:tcW w:type="dxa" w:w="5800"/>
          </w:tcPr>
          <w:p>
            <w:r>
              <w:t xml:space="preserve">P/E ~24.8-26.4x; Book value ~Rs 47.3; P/B ~4.4x</w:t>
            </w:r>
          </w:p>
        </w:tc>
      </w:tr>
      <w:tr>
        <w:tc>
          <w:tcPr>
            <w:tcW w:type="dxa" w:w="3200"/>
            <w:shd w:fill="F2F2F2" w:val="clear"/>
          </w:tcPr>
          <w:p>
            <w:r>
              <w:rPr>
                <w:b/>
                <w:bCs/>
              </w:rPr>
              <w:t xml:space="preserve">Capacity expansion</w:t>
            </w:r>
          </w:p>
        </w:tc>
        <w:tc>
          <w:tcPr>
            <w:tcW w:type="dxa" w:w="5800"/>
          </w:tcPr>
          <w:p>
            <w:r>
              <w:t xml:space="preserve">New Kanpur facility (~6 acres, ~Rs 95-100 Cr capex, ~95% complete) lifts capacity from 2,500 MVA to 9,000 MVA (3.6x); currently running at 20-28% utilisation, guided to reach 30-50% by Q4 FY27</w:t>
            </w:r>
          </w:p>
        </w:tc>
      </w:tr>
      <w:tr>
        <w:tc>
          <w:tcPr>
            <w:tcW w:type="dxa" w:w="3200"/>
            <w:shd w:fill="F2F2F2" w:val="clear"/>
          </w:tcPr>
          <w:p>
            <w:r>
              <w:rPr>
                <w:b/>
                <w:bCs/>
              </w:rPr>
              <w:t xml:space="preserve">Order book</w:t>
            </w:r>
          </w:p>
        </w:tc>
        <w:tc>
          <w:tcPr>
            <w:tcW w:type="dxa" w:w="5800"/>
          </w:tcPr>
          <w:p>
            <w:r>
              <w:t xml:space="preserve">Rs 590 Cr as of mid-Aug 2026 (30.1% government / 69.9% private; power transformers 76.9% of orders) vs a conservative FY27 revenue guidance of Rs 250-300 Cr - ~2x revenue cover with 7-17 month execution timelines</w:t>
            </w:r>
          </w:p>
        </w:tc>
      </w:tr>
    </w:tbl>
    <w:p>
      <w:pPr>
        <w:spacing w:after="100"/>
      </w:pPr>
    </w:p>
    <w:p>
      <w:pPr>
        <w:spacing w:after="120"/>
      </w:pPr>
      <w:r>
        <w:t xml:space="preserve">Genuinely strong top-line growth (31% FY26 revenue growth, 36% 3-yr CAGR) and a clean balance sheet (near-zero net debt, ROCE/ROE both in the 20%+ range), riding real power-sector and renewables transformer demand, now backed by a large, funded capacity expansion (2,500 -&gt; 9,000 MVA at the new Kanpur facility, ~95% complete) rather than just an order-book story. However, profit growth has lagged revenue growth for two straight periods (FY26 PAT +9.9% vs revenue +31.3%; Q1 FY27 PAT +10.0% vs revenue +37.3%) - management attributes this explicitly to Kanpur's new-plant overhead being absorbed ahead of utilisation catching up (currently only 20-28% utilised), which is a normal capex-ramp pattern rather than a structural margin problem, but it means near-term earnings will lag the revenue growth headline. FY26 operating cash flow (~Rs 28 Cr) fell short of capex (~Rs 40 Cr), producing negative free cash flow for the year - again consistent with a genuine capex-ramp phase, not an operating red flag, but worth tracking given management has flagged potential equity dilution by FY28 for further expansion. The transformer-manufacturing space in India remains crowded with several small/mid-cap listed peers (Shilchar Technologies, TARIL, Voltamp Transformers, Raychem RPG, Danish Power), most of which sit at 132kV and below; Supreme's stated positioning in the 220kV segment (fewer competitors, higher realisation per MVA) is a potential differentiator worth watching but is not yet proven at scale, and the company has secured no export orders to date (management expects 'a few more years' for meaningful export traction). Order book quality looks reasonable: 80-85% is covered by price-variation clauses (protecting margins from input-cost swings), and the government/private split (30%/70%) is balanced rather than concentrated. P/E of ~25-26x is not obviously cheap for the growth on offer, but is not stretched either given the capacity-ramp optionality.</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2026-09-18.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FY26 annual results (revenue Rs 190.08 Cr, PAT Rs 20.44 Cr) and Q4 FY26 earnings-call highlights</w:t>
      </w:r>
    </w:p>
    <w:p>
      <w:pPr>
        <w:pStyle w:val="ListParagraph"/>
        <w:numPr>
          <w:ilvl w:val="0"/>
          <w:numId w:val="1"/>
        </w:numPr>
        <w:spacing w:after="60"/>
      </w:pPr>
      <w:r>
        <w:t xml:space="preserve">Q1 FY27 results &amp; concall highlights (revenue Rs 48.31 Cr, PAT Rs 4.90 Cr, EPS Rs 1.96) including Kanpur utilisation, order-book breakdown, margin guidance and risk disclosures</w:t>
      </w:r>
    </w:p>
    <w:p>
      <w:pPr>
        <w:pStyle w:val="ListParagraph"/>
        <w:numPr>
          <w:ilvl w:val="0"/>
          <w:numId w:val="1"/>
        </w:numPr>
        <w:spacing w:after="60"/>
      </w:pPr>
      <w:r>
        <w:t xml:space="preserve">2026 BSE order-win announcements (Jan Rs 58.94 Cr, Apr Rs 128 Cr from 4 Hyderabad orders, May Rs 28.50 Cr Karnataka EPC order)</w:t>
      </w:r>
    </w:p>
    <w:p>
      <w:pPr>
        <w:pStyle w:val="ListParagraph"/>
        <w:numPr>
          <w:ilvl w:val="0"/>
          <w:numId w:val="1"/>
        </w:numPr>
        <w:spacing w:after="60"/>
      </w:pPr>
      <w:r>
        <w:t xml:space="preserve">screener.in financials (valuation, ROCE/ROE, cash flow, shareholding pattern, quarterly revenue trend)</w:t>
      </w:r>
    </w:p>
    <w:p>
      <w:pPr>
        <w:pStyle w:val="ListParagraph"/>
        <w:numPr>
          <w:ilvl w:val="0"/>
          <w:numId w:val="1"/>
        </w:numPr>
        <w:spacing w:after="60"/>
      </w:pPr>
      <w:r>
        <w:t xml:space="preserve">Sector/peer positioning search (Shilchar Technologies, TARIL, Voltamp Transformers - segment/voltage-class comparison)</w:t>
      </w:r>
    </w:p>
    <w:p>
      <w:pPr>
        <w:spacing w:after="120"/>
      </w:pPr>
      <w:r>
        <w:rPr>
          <w:b/>
          <w:bCs/>
          <w:sz w:val="20"/>
          <w:szCs w:val="20"/>
        </w:rPr>
        <w:t xml:space="preserve">Annual-report findings (3-year view):</w:t>
      </w:r>
    </w:p>
    <w:p>
      <w:pPr>
        <w:pStyle w:val="ListParagraph"/>
        <w:numPr>
          <w:ilvl w:val="0"/>
          <w:numId w:val="1"/>
        </w:numPr>
        <w:spacing w:after="60"/>
      </w:pPr>
      <w:r>
        <w:t xml:space="preserve">New Kanpur facility (~6 acres, ~Rs 95-100 Cr capex) ~95% complete, lifting capacity from 2,500 MVA to 9,000 MVA (3.6x)</w:t>
      </w:r>
    </w:p>
    <w:p>
      <w:pPr>
        <w:pStyle w:val="ListParagraph"/>
        <w:numPr>
          <w:ilvl w:val="0"/>
          <w:numId w:val="1"/>
        </w:numPr>
        <w:spacing w:after="60"/>
      </w:pPr>
      <w:r>
        <w:t xml:space="preserve">FY26 revenue from ops Rs 190.08 Cr (+31.3% YoY) but PAT only Rs 20.44 Cr (+9.9% YoY) - profit growth lagging revenue growth</w:t>
      </w:r>
    </w:p>
    <w:p>
      <w:pPr>
        <w:pStyle w:val="ListParagraph"/>
        <w:numPr>
          <w:ilvl w:val="0"/>
          <w:numId w:val="1"/>
        </w:numPr>
        <w:spacing w:after="60"/>
      </w:pPr>
      <w:r>
        <w:t xml:space="preserve">FY26 operating cash flow ~Rs 28 Cr against capex ~Rs 40 Cr - negative free cash flow for the year, consistent with the capex-ramp phase</w:t>
      </w:r>
    </w:p>
    <w:p>
      <w:pPr>
        <w:pStyle w:val="ListParagraph"/>
        <w:numPr>
          <w:ilvl w:val="0"/>
          <w:numId w:val="1"/>
        </w:numPr>
        <w:spacing w:after="60"/>
      </w:pPr>
      <w:r>
        <w:t xml:space="preserve">Promoter holding 57.16% (Mar 2026), 0% pledge; zero dividend payout history to date</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revenue Rs 48.31 Cr (+37.3% YoY), EBITDA Rs 8.89 Cr (+32.0% YoY, ~18.4% margin), PAT Rs 4.90 Cr (+10.0% YoY, ~10.1% margin) - PAT growth continuing to lag revenue growth</w:t>
      </w:r>
    </w:p>
    <w:p>
      <w:pPr>
        <w:pStyle w:val="ListParagraph"/>
        <w:numPr>
          <w:ilvl w:val="0"/>
          <w:numId w:val="1"/>
        </w:numPr>
        <w:spacing w:after="60"/>
      </w:pPr>
      <w:r>
        <w:t xml:space="preserve">Screener revenue sequence across ~6 recent quarters: ~Rs 29.4 Cr -&gt; 27.5 Cr -&gt; 38.2 Cr -&gt; 42.4 Cr -&gt; 37.8 Cr -&gt; 51.1 Cr - lumpy, order-driven recognition</w:t>
      </w:r>
    </w:p>
    <w:p>
      <w:pPr>
        <w:pStyle w:val="ListParagraph"/>
        <w:numPr>
          <w:ilvl w:val="0"/>
          <w:numId w:val="1"/>
        </w:numPr>
        <w:spacing w:after="60"/>
      </w:pPr>
      <w:r>
        <w:t xml:space="preserve">Debtor days improved from 130 to 87 over the trailing period - a working-capital positive alongside the growth</w:t>
      </w:r>
    </w:p>
    <w:p>
      <w:pPr>
        <w:spacing w:after="120"/>
      </w:pPr>
      <w:r>
        <w:rPr>
          <w:b/>
          <w:bCs/>
          <w:sz w:val="20"/>
          <w:szCs w:val="20"/>
        </w:rPr>
        <w:t xml:space="preserve">Exchange announcements (last 6 months):</w:t>
      </w:r>
    </w:p>
    <w:p>
      <w:pPr>
        <w:pStyle w:val="ListParagraph"/>
        <w:numPr>
          <w:ilvl w:val="0"/>
          <w:numId w:val="1"/>
        </w:numPr>
        <w:spacing w:after="60"/>
      </w:pPr>
      <w:r>
        <w:t xml:space="preserve">Jan 2026: Rs 58.94 Cr in domestic order wins, largest single order ~Rs 25.70 Cr (ten 20 MVA transformers, 12-month execution)</w:t>
      </w:r>
    </w:p>
    <w:p>
      <w:pPr>
        <w:pStyle w:val="ListParagraph"/>
        <w:numPr>
          <w:ilvl w:val="0"/>
          <w:numId w:val="1"/>
        </w:numPr>
        <w:spacing w:after="60"/>
      </w:pPr>
      <w:r>
        <w:t xml:space="preserve">Apr 2026: Rs 128 Cr across 4 orders from Hyderabad-based companies, taking the consolidated order book to Rs 577.72 Cr</w:t>
      </w:r>
    </w:p>
    <w:p>
      <w:pPr>
        <w:pStyle w:val="ListParagraph"/>
        <w:numPr>
          <w:ilvl w:val="0"/>
          <w:numId w:val="1"/>
        </w:numPr>
        <w:spacing w:after="60"/>
      </w:pPr>
      <w:r>
        <w:t xml:space="preserve">May 2026: Rs 28.50 Cr order from a Karnataka EPC company for 20 MVA, 110/33-11kV power transformers</w:t>
      </w:r>
    </w:p>
    <w:p>
      <w:pPr>
        <w:pStyle w:val="ListParagraph"/>
        <w:numPr>
          <w:ilvl w:val="0"/>
          <w:numId w:val="1"/>
        </w:numPr>
        <w:spacing w:after="60"/>
      </w:pPr>
      <w:r>
        <w:t xml:space="preserve">Aug 2026: order book stood at Rs 590.06 Cr (30.1% government / 69.9% private; 76.9% power transformers), with 80-85% covered by price-variation clauses</w:t>
      </w:r>
    </w:p>
    <w:p>
      <w:pPr>
        <w:spacing w:after="120"/>
      </w:pPr>
      <w:r>
        <w:rPr>
          <w:b/>
          <w:bCs/>
          <w:sz w:val="20"/>
          <w:szCs w:val="20"/>
        </w:rPr>
        <w:t xml:space="preserve">Key new facts vs. the prior write-up:</w:t>
      </w:r>
    </w:p>
    <w:p>
      <w:pPr>
        <w:pStyle w:val="ListParagraph"/>
        <w:numPr>
          <w:ilvl w:val="0"/>
          <w:numId w:val="1"/>
        </w:numPr>
        <w:spacing w:after="60"/>
      </w:pPr>
      <w:r>
        <w:t xml:space="preserve">PAT growth has lagged revenue growth for two consecutive periods (FY26 and Q1 FY27) specifically because of new Kanpur-plant overhead absorption ahead of utilisation catching up - management named this explicitly on the concall, distinguishing it from a structural margin problem</w:t>
      </w:r>
    </w:p>
    <w:p>
      <w:pPr>
        <w:pStyle w:val="ListParagraph"/>
        <w:numPr>
          <w:ilvl w:val="0"/>
          <w:numId w:val="1"/>
        </w:numPr>
        <w:spacing w:after="60"/>
      </w:pPr>
      <w:r>
        <w:t xml:space="preserve">New Kanpur facility is running at only 20-28% utilisation currently, guided to reach 30-50% by Q4 FY27 - a longer ramp runway than the headline capacity-expansion story alone would suggest</w:t>
      </w:r>
    </w:p>
    <w:p>
      <w:pPr>
        <w:pStyle w:val="ListParagraph"/>
        <w:numPr>
          <w:ilvl w:val="0"/>
          <w:numId w:val="1"/>
        </w:numPr>
        <w:spacing w:after="60"/>
      </w:pPr>
      <w:r>
        <w:t xml:space="preserve">80-85% of the order book carries price-variation clauses, materially de-risking margin from steel/copper input-cost swings - a real positive not captured in the prior light-pass narrative</w:t>
      </w:r>
    </w:p>
    <w:p>
      <w:pPr>
        <w:pStyle w:val="ListParagraph"/>
        <w:numPr>
          <w:ilvl w:val="0"/>
          <w:numId w:val="1"/>
        </w:numPr>
        <w:spacing w:after="60"/>
      </w:pPr>
      <w:r>
        <w:t xml:space="preserve">Management has flagged potential equity dilution by FY28 for further expansion, and land constraints at the current Kanpur site limiting expansion beyond the current 9,000 MVA build - both genuine, previously unflagged risks</w:t>
      </w:r>
    </w:p>
    <w:p>
      <w:pPr>
        <w:pStyle w:val="ListParagraph"/>
        <w:numPr>
          <w:ilvl w:val="0"/>
          <w:numId w:val="1"/>
        </w:numPr>
        <w:spacing w:after="60"/>
      </w:pPr>
      <w:r>
        <w:t xml:space="preserve">No export orders secured to date; data-centre segment orders not expected before FY28 - both are unproven call options, not yet in the numbers</w:t>
      </w:r>
    </w:p>
    <w:p>
      <w:pPr>
        <w:pStyle w:val="ListParagraph"/>
        <w:numPr>
          <w:ilvl w:val="0"/>
          <w:numId w:val="1"/>
        </w:numPr>
        <w:spacing w:after="60"/>
      </w:pPr>
      <w:r>
        <w:t xml:space="preserve">Sector-wide capacity-adding phase: peers including Shilchar are simultaneously expanding (7,500 -&gt; 14,000 MVA) and pushing into higher-voltage segments, so Supreme's 220kV positioning, while a real potential niche, is not an uncontested moat</w:t>
      </w:r>
    </w:p>
    <w:p>
      <w:pPr>
        <w:spacing w:after="120"/>
      </w:pPr>
      <w:r>
        <w:rPr>
          <w:b/>
          <w:bCs/>
          <w:sz w:val="20"/>
          <w:szCs w:val="20"/>
        </w:rPr>
        <w:t xml:space="preserve">Open questions / what to watch:</w:t>
      </w:r>
    </w:p>
    <w:p>
      <w:pPr>
        <w:pStyle w:val="ListParagraph"/>
        <w:numPr>
          <w:ilvl w:val="0"/>
          <w:numId w:val="1"/>
        </w:numPr>
        <w:spacing w:after="60"/>
      </w:pPr>
      <w:r>
        <w:t xml:space="preserve">Whether Kanpur utilisation actually reaches the guided 30-50% by Q4 FY27 or slips further</w:t>
      </w:r>
    </w:p>
    <w:p>
      <w:pPr>
        <w:pStyle w:val="ListParagraph"/>
        <w:numPr>
          <w:ilvl w:val="0"/>
          <w:numId w:val="1"/>
        </w:numPr>
        <w:spacing w:after="60"/>
      </w:pPr>
      <w:r>
        <w:t xml:space="preserve">Whether the flagged FY28 equity dilution materialises and at what scale/dilution to existing shareholders</w:t>
      </w:r>
    </w:p>
    <w:p>
      <w:pPr>
        <w:pStyle w:val="ListParagraph"/>
        <w:numPr>
          <w:ilvl w:val="0"/>
          <w:numId w:val="1"/>
        </w:numPr>
        <w:spacing w:after="60"/>
      </w:pPr>
      <w:r>
        <w:t xml:space="preserve">RPT trend, auditor commentary, and multi-quarter promoter-holding trend - not cleanly sourced this pass beyond the single Mar 2026 shareholding snapshot</w:t>
      </w:r>
    </w:p>
    <w:p>
      <w:pPr>
        <w:pStyle w:val="ListParagraph"/>
        <w:numPr>
          <w:ilvl w:val="0"/>
          <w:numId w:val="1"/>
        </w:numPr>
        <w:spacing w:after="60"/>
      </w:pPr>
      <w:r>
        <w:t xml:space="preserve">Whether the 220kV positioning translates into a durable pricing/realisation advantage versus Shilchar/Voltamp/TARIL as they also scale up</w:t>
      </w:r>
    </w:p>
    <w:p>
      <w:pPr>
        <w:spacing w:after="120" w:before="120"/>
      </w:pPr>
      <w:r>
        <w:rPr>
          <w:b/>
          <w:bCs/>
          <w:sz w:val="20"/>
          <w:szCs w:val="20"/>
        </w:rPr>
        <w:t xml:space="preserve">Conviction impact: </w:t>
      </w:r>
      <w:r>
        <w:rPr>
          <w:sz w:val="20"/>
          <w:szCs w:val="20"/>
        </w:rPr>
        <w:t xml:space="preserve">Medium -&gt; Medium (unchanged). The fresh filings read confirms the core growth and balance-sheet strengths (31%+ revenue growth, near-zero debt, a real and mostly-complete capacity expansion, a well-covered order book) but surfaces two genuine new watch-items not visible in the prior light pass - persistent PAT-vs-revenue growth lag from new-plant overhead absorption, and a flagged FY28 equity-dilution/land-constraint risk - that offset the positive findings (price-variation-clause protection on 80-85% of the order book, conservative guidance discipline, improving debtor days). Net effect broadly cancels out, so conviction stays at Medium rather than moving in either direction; four_box score is unchanged at 2.5 (valuation component re-confirmed as 'weak' rather than upgraded, given the unresolved margin-ramp uncertainty).</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FY27 revenue guidance of Rs 250-300 Cr against a Rs 590 Cr order book</w:t>
            </w:r>
          </w:p>
        </w:tc>
        <w:tc>
          <w:tcPr>
            <w:tcW w:type="dxa" w:w="2400"/>
          </w:tcPr>
          <w:p>
            <w:r>
              <w:rPr>
                <w:b w:val="false"/>
                <w:bCs w:val="false"/>
                <w:sz w:val="18"/>
                <w:szCs w:val="18"/>
              </w:rPr>
              <w:t xml:space="preserve">conservative guidance citing possible customer delivery delays; 7-17 month execution timelines</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capacity</w:t>
            </w:r>
          </w:p>
        </w:tc>
        <w:tc>
          <w:tcPr>
            <w:tcW w:type="dxa" w:w="2600"/>
          </w:tcPr>
          <w:p>
            <w:r>
              <w:rPr>
                <w:b w:val="false"/>
                <w:bCs w:val="false"/>
                <w:sz w:val="18"/>
                <w:szCs w:val="18"/>
              </w:rPr>
              <w:t xml:space="preserve">Kanpur facility ramp to full capacity (2,500 -&gt; 9,000 MVA)</w:t>
            </w:r>
          </w:p>
        </w:tc>
        <w:tc>
          <w:tcPr>
            <w:tcW w:type="dxa" w:w="2400"/>
          </w:tcPr>
          <w:p>
            <w:r>
              <w:rPr>
                <w:b w:val="false"/>
                <w:bCs w:val="false"/>
                <w:sz w:val="18"/>
                <w:szCs w:val="18"/>
              </w:rPr>
              <w:t xml:space="preserve">~95% construction complete; utilisation to reach 30-50% by Q4 FY27 from 20-28% now</w:t>
            </w:r>
          </w:p>
        </w:tc>
        <w:tc>
          <w:tcPr>
            <w:tcW w:type="dxa" w:w="900"/>
          </w:tcPr>
          <w:p>
            <w:r>
              <w:rPr>
                <w:b w:val="false"/>
                <w:bCs w:val="false"/>
                <w:sz w:val="18"/>
                <w:szCs w:val="18"/>
              </w:rPr>
              <w:t xml:space="preserve">FY27</w:t>
            </w:r>
          </w:p>
        </w:tc>
        <w:tc>
          <w:tcPr>
            <w:tcW w:type="dxa" w:w="1200"/>
          </w:tcPr>
          <w:p>
            <w:r>
              <w:rPr>
                <w:b w:val="false"/>
                <w:bCs w:val="false"/>
                <w:sz w:val="18"/>
                <w:szCs w:val="18"/>
              </w:rPr>
              <w:t xml:space="preserve">operational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Peak revenue potential of Rs 600-650 Cr by FY29</w:t>
            </w:r>
          </w:p>
        </w:tc>
        <w:tc>
          <w:tcPr>
            <w:tcW w:type="dxa" w:w="2400"/>
          </w:tcPr>
          <w:p>
            <w:r>
              <w:rPr>
                <w:b w:val="false"/>
                <w:bCs w:val="false"/>
                <w:sz w:val="18"/>
                <w:szCs w:val="18"/>
              </w:rPr>
              <w:t xml:space="preserve">requires further capacity for 300-500 MVA transformers</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new_business</w:t>
            </w:r>
          </w:p>
        </w:tc>
        <w:tc>
          <w:tcPr>
            <w:tcW w:type="dxa" w:w="2600"/>
          </w:tcPr>
          <w:p>
            <w:r>
              <w:rPr>
                <w:b w:val="false"/>
                <w:bCs w:val="false"/>
                <w:sz w:val="18"/>
                <w:szCs w:val="18"/>
              </w:rPr>
              <w:t xml:space="preserve">Data-centre segment transformer orders</w:t>
            </w:r>
          </w:p>
        </w:tc>
        <w:tc>
          <w:tcPr>
            <w:tcW w:type="dxa" w:w="2400"/>
          </w:tcPr>
          <w:p>
            <w:r>
              <w:rPr>
                <w:b w:val="false"/>
                <w:bCs w:val="false"/>
                <w:sz w:val="18"/>
                <w:szCs w:val="18"/>
              </w:rPr>
              <w:t xml:space="preserve">none secured yet, expected only from FY28</w:t>
            </w:r>
          </w:p>
        </w:tc>
        <w:tc>
          <w:tcPr>
            <w:tcW w:type="dxa" w:w="900"/>
          </w:tcPr>
          <w:p>
            <w:r>
              <w:rPr>
                <w:b w:val="false"/>
                <w:bCs w:val="false"/>
                <w:sz w:val="18"/>
                <w:szCs w:val="18"/>
              </w:rPr>
              <w:t xml:space="preserve">beyond</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order book (Rs 590 Cr)</w:t>
      </w:r>
      <w:r>
        <w:rPr>
          <w:color w:val="666666"/>
          <w:sz w:val="20"/>
          <w:szCs w:val="20"/>
        </w:rPr>
        <w:t xml:space="preserve"> → </w:t>
      </w:r>
      <w:r>
        <w:rPr>
          <w:b w:val="false"/>
          <w:bCs w:val="false"/>
          <w:sz w:val="20"/>
          <w:szCs w:val="20"/>
        </w:rPr>
        <w:t xml:space="preserve">Kanpur capacity utilisation ramp</w:t>
      </w:r>
      <w:r>
        <w:rPr>
          <w:color w:val="666666"/>
          <w:sz w:val="20"/>
          <w:szCs w:val="20"/>
        </w:rPr>
        <w:t xml:space="preserve"> → </w:t>
      </w:r>
      <w:r>
        <w:rPr>
          <w:b w:val="false"/>
          <w:bCs w:val="false"/>
          <w:sz w:val="20"/>
          <w:szCs w:val="20"/>
        </w:rPr>
        <w:t xml:space="preserve">revenue execution against 7-17 month order timelines</w:t>
      </w:r>
      <w:r>
        <w:rPr>
          <w:color w:val="666666"/>
          <w:sz w:val="20"/>
          <w:szCs w:val="20"/>
        </w:rPr>
        <w:t xml:space="preserve"> → </w:t>
      </w:r>
      <w:r>
        <w:rPr>
          <w:b w:val="false"/>
          <w:bCs w:val="false"/>
          <w:sz w:val="20"/>
          <w:szCs w:val="20"/>
        </w:rPr>
        <w:t xml:space="preserve">overhead absorption vs new-plant fixed costs</w:t>
      </w:r>
      <w:r>
        <w:rPr>
          <w:color w:val="666666"/>
          <w:sz w:val="20"/>
          <w:szCs w:val="20"/>
        </w:rPr>
        <w:t xml:space="preserve"> → </w:t>
      </w:r>
      <w:r>
        <w:rPr>
          <w:b w:val="false"/>
          <w:bCs w:val="false"/>
          <w:sz w:val="20"/>
          <w:szCs w:val="20"/>
        </w:rPr>
        <w:t xml:space="preserve">EBITDA margin (18-20% guided)</w:t>
      </w:r>
      <w:r>
        <w:rPr>
          <w:color w:val="666666"/>
          <w:sz w:val="20"/>
          <w:szCs w:val="20"/>
        </w:rPr>
        <w:t xml:space="preserve"> → </w:t>
      </w:r>
      <w:r>
        <w:rPr>
          <w:b w:val="false"/>
          <w:bCs w:val="false"/>
          <w:sz w:val="20"/>
          <w:szCs w:val="20"/>
        </w:rPr>
        <w:t xml:space="preserve">PAT (10-12% guided margin)</w:t>
      </w:r>
    </w:p>
    <w:p>
      <w:pPr>
        <w:spacing w:after="120"/>
      </w:pPr>
      <w:r>
        <w:rPr>
          <w:color w:val="666666"/>
          <w:sz w:val="18"/>
          <w:szCs w:val="18"/>
        </w:rPr>
        <w:t xml:space="preserve">Bottleneck link: Kanpur utilisation ramp (20-28% now).</w:t>
      </w:r>
    </w:p>
    <w:p>
      <w:pPr>
        <w:spacing w:after="120"/>
      </w:pPr>
      <w:r>
        <w:rPr>
          <w:color w:val="666666"/>
          <w:sz w:val="18"/>
          <w:szCs w:val="18"/>
        </w:rPr>
        <w:t xml:space="preserve">Operating leverage: yes - management explicitly attributes the current PAT-vs-revenue growth gap to new-plant overhead being absorbed ahead of utilisation, implying margin should improve as utilisation rises toward the guided 30-50%</w:t>
      </w:r>
    </w:p>
    <w:p>
      <w:pPr>
        <w:spacing w:after="120"/>
      </w:pPr>
      <w:r>
        <w:rPr>
          <w:color w:val="666666"/>
          <w:sz w:val="18"/>
          <w:szCs w:val="18"/>
        </w:rPr>
        <w:t xml:space="preserve">Evidenced: order book of Rs 590 Cr with 80-85% price-variation protection; Kanpur facility ~95% construction complete. Still assumed: utilisation ramp to 30-50% by Q4 FY27; PAT margin recovering to the guided 10-12% band as overhead absorption eases; no further equity dilution disrupting per-share economics before FY29 peak-revenue targets are reached.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2026-09-18</w:t>
            </w:r>
          </w:p>
        </w:tc>
      </w:tr>
      <w:tr>
        <w:tc>
          <w:tcPr>
            <w:tcW w:type="dxa" w:w="3200"/>
            <w:shd w:fill="F2F2F2" w:val="clear"/>
          </w:tcPr>
          <w:p>
            <w:r>
              <w:rPr>
                <w:b/>
                <w:bCs/>
              </w:rPr>
              <w:t xml:space="preserve">Price / multiple</w:t>
            </w:r>
          </w:p>
        </w:tc>
        <w:tc>
          <w:tcPr>
            <w:tcW w:type="dxa" w:w="5800"/>
          </w:tcPr>
          <w:p>
            <w:r>
              <w:t xml:space="preserve">Rs 207 · 24.8x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At ~25x trailing P/E for a business guiding to 10-12% PAT margins on Rs 250-300 Cr FY27 revenue (implying roughly Rs 25-36 Cr FY27 PAT vs Rs 20.4 Cr FY26), the multiple needs the Kanpur utilisation ramp and the FY29 Rs 600-650 Cr peak-revenue target to substantially materialise - a steady compounder-type exit multiple (~18-22x) would require sustained 20%+ EPS CAGR through FY28-29 to look fair today</w:t>
            </w:r>
          </w:p>
        </w:tc>
      </w:tr>
      <w:tr>
        <w:tc>
          <w:tcPr>
            <w:tcW w:type="dxa" w:w="3200"/>
            <w:shd w:fill="F2F2F2" w:val="clear"/>
          </w:tcPr>
          <w:p>
            <w:r>
              <w:rPr>
                <w:b/>
                <w:bCs/>
              </w:rPr>
              <w:t xml:space="preserve">Our FY27</w:t>
            </w:r>
          </w:p>
        </w:tc>
        <w:tc>
          <w:tcPr>
            <w:tcW w:type="dxa" w:w="5800"/>
          </w:tcPr>
          <w:p>
            <w:r>
              <w:t xml:space="preserve">Revenue likely lands near or above the conservative Rs 250-300 Cr guidance given the Rs 590 Cr order book; PAT growth likely continues to lag revenue growth in H1 as Kanpur overhead absorption persists, improving in H2 as utilisation climbs toward the guided 30-50%</w:t>
            </w:r>
          </w:p>
        </w:tc>
      </w:tr>
      <w:tr>
        <w:tc>
          <w:tcPr>
            <w:tcW w:type="dxa" w:w="3200"/>
            <w:shd w:fill="F2F2F2" w:val="clear"/>
          </w:tcPr>
          <w:p>
            <w:r>
              <w:rPr>
                <w:b/>
                <w:bCs/>
              </w:rPr>
              <w:t xml:space="preserve">Our FY28</w:t>
            </w:r>
          </w:p>
        </w:tc>
        <w:tc>
          <w:tcPr>
            <w:tcW w:type="dxa" w:w="5800"/>
          </w:tcPr>
          <w:p>
            <w:r>
              <w:t xml:space="preserve">Full-year benefit of higher Kanpur utilisation should show up in margin recovery toward the guided 10-12% PAT band; data-centre segment orders (management's own FY28 timeline) are a call option not yet in numbers; potential equity dilution flagged by management for further expansion could dilute per-share economics</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market is paying ~25x for revenue growth that is well evidenced (order book, capacity build), but the margin-recovery leg (closing the PAT-vs-revenue growth gap as Kanpur utilisation ramps) is still assumed, not yet evidenced in the numbers - two of three assumed_links outnumber the two evidenced_links, so this reads as partially-priced rather than clearly underestimated</w:t>
            </w:r>
          </w:p>
        </w:tc>
      </w:tr>
      <w:tr>
        <w:tc>
          <w:tcPr>
            <w:tcW w:type="dxa" w:w="3200"/>
            <w:shd w:fill="F2F2F2" w:val="clear"/>
          </w:tcPr>
          <w:p>
            <w:r>
              <w:rPr>
                <w:b/>
                <w:bCs/>
              </w:rPr>
              <w:t xml:space="preserve">Evidence quality</w:t>
            </w:r>
          </w:p>
        </w:tc>
        <w:tc>
          <w:tcPr>
            <w:tcW w:type="dxa" w:w="5800"/>
          </w:tcPr>
          <w:p>
            <w:r>
              <w:t xml:space="preserve">monitor</w:t>
            </w:r>
          </w:p>
        </w:tc>
      </w:tr>
    </w:tbl>
    <w:p>
      <w:pPr>
        <w:spacing w:after="120"/>
      </w:pPr>
      <w:r>
        <w:rPr>
          <w:i/>
          <w:iCs/>
          <w:color w:val="666666"/>
          <w:sz w:val="16"/>
          <w:szCs w:val="16"/>
        </w:rPr>
        <w:t xml:space="preserve">no broker consensus; implied path is a reverse-P/E estimate + screener.in forward figures + VP thread view</w:t>
      </w:r>
    </w:p>
    <w:p>
      <w:pPr>
        <w:spacing w:after="120" w:before="120"/>
      </w:pPr>
      <w:r>
        <w:rPr>
          <w:b/>
          <w:bCs/>
          <w:sz w:val="20"/>
          <w:szCs w:val="20"/>
        </w:rPr>
        <w:t xml:space="preserve">Catalyst: </w:t>
      </w:r>
      <w:r>
        <w:rPr>
          <w:sz w:val="20"/>
          <w:szCs w:val="20"/>
        </w:rPr>
        <w:t xml:space="preserve">Kanpur facility utilisation reaching the guided 30-50% band by Q4 FY27, alongside a quarter where PAT growth catches up to revenue growth (confirming the overhead-absorption drag is easing)</w:t>
      </w:r>
      <w:r>
        <w:rPr>
          <w:color w:val="666666"/>
          <w:sz w:val="18"/>
          <w:szCs w:val="18"/>
        </w:rPr>
        <w:t xml:space="preserve"> (window ~7M from 2026-09-18; 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Indian power-transformer manufacturing - grid capex + renewables (solar/wind) buildout</w:t>
            </w:r>
          </w:p>
        </w:tc>
      </w:tr>
      <w:tr>
        <w:tc>
          <w:tcPr>
            <w:tcW w:type="dxa" w:w="3200"/>
            <w:shd w:fill="F2F2F2" w:val="clear"/>
          </w:tcPr>
          <w:p>
            <w:r>
              <w:rPr>
                <w:b/>
                <w:bCs/>
              </w:rPr>
              <w:t xml:space="preserve">This company's position</w:t>
            </w:r>
          </w:p>
        </w:tc>
        <w:tc>
          <w:tcPr>
            <w:tcW w:type="dxa" w:w="5800"/>
          </w:tcPr>
          <w:p>
            <w:r>
              <w:t xml:space="preserve">Small-cap manufacturer of power, generator and windmill transformers, expanding into the 220kV segment where the dominant listed peers (Shilchar, Voltamp) are largely under-represented (mostly ≤132kV)</w:t>
            </w:r>
          </w:p>
        </w:tc>
      </w:tr>
      <w:tr>
        <w:tc>
          <w:tcPr>
            <w:tcW w:type="dxa" w:w="3200"/>
            <w:shd w:fill="F2F2F2" w:val="clear"/>
          </w:tcPr>
          <w:p>
            <w:r>
              <w:rPr>
                <w:b/>
                <w:bCs/>
              </w:rPr>
              <w:t xml:space="preserve">Bottleneck node (pricing power)</w:t>
            </w:r>
          </w:p>
        </w:tc>
        <w:tc>
          <w:tcPr>
            <w:tcW w:type="dxa" w:w="5800"/>
          </w:tcPr>
          <w:p>
            <w:r>
              <w:t xml:space="preserve">New Kanpur facility utilisation ramp (currently 20-28%) and skilled-labour training (250+ new workers vs 60-80 at the existing unit)</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Shilchar Technologies, Transformers and Rectifiers India (TARIL), Voltamp Transformers, Raychem RPG, Danish Power</w:t>
            </w:r>
          </w:p>
        </w:tc>
      </w:tr>
    </w:tbl>
    <w:p>
      <w:pPr>
        <w:spacing w:after="120"/>
      </w:pPr>
      <w:r>
        <w:rPr>
          <w:color w:val="666666"/>
          <w:sz w:val="18"/>
          <w:szCs w:val="18"/>
        </w:rPr>
        <w:t xml:space="preserve">Multiple listed small/mid-caps are simultaneously adding transformer capacity into the same grid-capex/renewables tailwind (Shilchar itself is expanding 7,500 -&gt; 14,000 MVA and pushing into 220kV) - a late-cycle capacity-adding phase across the sector, which caps pricing power even where individual companies' order books look strong; Supreme's 220kV positioning is a real but not yet independently verified differentiator versus this broader capacity build-out.</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w:r>
    </w:p>
    <w:p>
      <w:pPr>
        <w:spacing w:after="120"/>
      </w:pPr>
      <w:r>
        <w:rPr>
          <w:color w:val="666666"/>
          <w:sz w:val="18"/>
          <w:szCs w:val="18"/>
        </w:rPr>
        <w:t xml:space="preserve">Drivers: new Kanpur plant overhead absorption during ramp-up (currently a drag); 80-85% of order book covered by price-variation clauses (protects EBITDA margin from steel/copper cost swings); product mix skewing toward higher-margin power transformers (76.9% of order book).</w:t>
      </w:r>
    </w:p>
    <w:p>
      <w:pPr>
        <w:spacing w:after="120"/>
      </w:pPr>
      <w:r>
        <w:rPr>
          <w:color w:val="666666"/>
          <w:sz w:val="18"/>
          <w:szCs w:val="18"/>
        </w:rPr>
        <w:t xml:space="preserve">Management guides 18-20% EBITDA margin and 10-12% PAT margin through-cycle; Q1 FY27 actuals (EBITDA margin ~18.4%, PAT margin ~10.1%) sit within/at the low end of that guided band, so current margins read as guided-normal rather than an unsustainable peak - the near-term drag is from new-plant overhead, not a spread/cyclical spike.</w:t>
      </w:r>
    </w:p>
    <w:p>
      <w:pPr>
        <w:spacing w:after="60" w:before="120"/>
      </w:pPr>
      <w:r>
        <w:rPr>
          <w:b/>
          <w:bCs/>
          <w:sz w:val="20"/>
          <w:szCs w:val="20"/>
        </w:rPr>
        <w:t xml:space="preserve">Growth trajectory: </w:t>
      </w:r>
      <w:r>
        <w:rPr>
          <w:b w:val="false"/>
          <w:bCs w:val="false"/>
          <w:sz w:val="20"/>
          <w:szCs w:val="20"/>
        </w:rPr>
        <w:t xml:space="preserve">YoY growth rate is lumpy</w:t>
      </w:r>
    </w:p>
    <w:p>
      <w:pPr>
        <w:spacing w:after="120"/>
      </w:pPr>
      <w:r>
        <w:rPr>
          <w:color w:val="666666"/>
          <w:sz w:val="18"/>
          <w:szCs w:val="18"/>
        </w:rPr>
        <w:t xml:space="preserve">Revenue progression across the last ~6 quarters (screener): ~Rs 29.4 Cr -&gt; 27.5 Cr -&gt; 38.2 Cr -&gt; 42.4 Cr -&gt; 37.8 Cr -&gt; 51.1 Cr (Q1 FY27, +37.3% YoY) - order/project-driven revenue recognition produces genuine quarter-to-quarter lumpiness rather than a smooth trend; PAT growth (Q1 FY27 +10.0% YoY) has lagged revenue growth for two consecutive periods.</w:t>
      </w:r>
    </w:p>
    <w:p>
      <w:pPr>
        <w:spacing w:after="120"/>
      </w:pPr>
      <w:r>
        <w:rPr>
          <w:color w:val="666666"/>
          <w:sz w:val="18"/>
          <w:szCs w:val="18"/>
        </w:rPr>
        <w:t xml:space="preserve">Reverse P/E: At ~25-26x trailing P/E, the multiple needs continued strong revenue growth AND a closing of the PAT-vs-revenue growth gap (i.e., Kanpur utilisation actually ramping as guided) to be justified; if overhead absorption persists longer than guided, the multiple would look increasingly stretched.</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positive</w:t>
            </w:r>
          </w:p>
        </w:tc>
      </w:tr>
      <w:tr>
        <w:tc>
          <w:tcPr>
            <w:tcW w:type="dxa" w:w="3200"/>
            <w:shd w:fill="F2F2F2" w:val="clear"/>
          </w:tcPr>
          <w:p>
            <w:r>
              <w:rPr>
                <w:b/>
                <w:bCs/>
              </w:rPr>
              <w:t xml:space="preserve">Capital allocation</w:t>
            </w:r>
          </w:p>
        </w:tc>
        <w:tc>
          <w:tcPr>
            <w:tcW w:type="dxa" w:w="5800"/>
          </w:tcPr>
          <w:p>
            <w:r>
              <w:t xml:space="preserve">Kanpur facility (~Rs 95-100 Cr, ~6 acres, 2,500 -&gt; 9,000 MVA capacity) ~95% complete, on budget per available disclosures; no unrelated diversification noted. Management has flagged potential equity dilution by FY28 for further expansion given land constraints at the current site. (neutral)</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reliable</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Explicit move into the 220kV segment (vs the company's historical lower-voltage/renovation-focused business) and toward larger 300-500 MVA transformer capability for the next capacity phase by FY29</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ROCE</w:t>
            </w:r>
          </w:p>
        </w:tc>
        <w:tc>
          <w:tcPr>
            <w:tcW w:type="dxa" w:w="5800"/>
          </w:tcPr>
          <w:p>
            <w:r>
              <w:t xml:space="preserve">21.5% (unclear)</w:t>
            </w:r>
          </w:p>
        </w:tc>
      </w:tr>
      <w:tr>
        <w:tc>
          <w:tcPr>
            <w:tcW w:type="dxa" w:w="3200"/>
            <w:shd w:fill="F2F2F2" w:val="clear"/>
          </w:tcPr>
          <w:p>
            <w:r>
              <w:rPr>
                <w:b/>
                <w:bCs/>
              </w:rPr>
              <w:t xml:space="preserve">Leverage</w:t>
            </w:r>
          </w:p>
        </w:tc>
        <w:tc>
          <w:tcPr>
            <w:tcW w:type="dxa" w:w="5800"/>
          </w:tcPr>
          <w:p>
            <w:r>
              <w:t xml:space="preserve">Net debt/EBITDA -0.3x</w:t>
            </w:r>
          </w:p>
        </w:tc>
      </w:tr>
      <w:tr>
        <w:tc>
          <w:tcPr>
            <w:tcW w:type="dxa" w:w="3200"/>
            <w:shd w:fill="F2F2F2" w:val="clear"/>
          </w:tcPr>
          <w:p>
            <w:r>
              <w:rPr>
                <w:b/>
                <w:bCs/>
              </w:rPr>
              <w:t xml:space="preserve">FCF conversion</w:t>
            </w:r>
          </w:p>
        </w:tc>
        <w:tc>
          <w:tcPr>
            <w:tcW w:type="dxa" w:w="5800"/>
          </w:tcPr>
          <w:p>
            <w:r>
              <w:t xml:space="preserve">-35%</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unclear</w:t>
            </w:r>
          </w:p>
        </w:tc>
      </w:tr>
    </w:tbl>
    <w:p>
      <w:pPr>
        <w:pStyle w:val="Heading1"/>
        <w:spacing w:after="120" w:before="280"/>
      </w:pPr>
      <w:r>
        <w:t xml:space="preserve">Fundamentals-Gap Checks (shareholding · working capital · sector KPIs · scenario analysis)</w:t>
      </w:r>
    </w:p>
    <w:p>
      <w:pPr>
        <w:spacing w:after="120"/>
      </w:pPr>
      <w:r>
        <w:rPr>
          <w:i/>
          <w:iCs/>
          <w:color w:val="666666"/>
          <w:sz w:val="18"/>
          <w:szCs w:val="18"/>
        </w:rPr>
        <w:t xml:space="preserve">Extra fundamentals extracted from the same filings — informational only, not yet consumed by any scoring script.</w:t>
      </w:r>
    </w:p>
    <w:p>
      <w:pPr>
        <w:spacing w:after="120"/>
      </w:pPr>
      <w:r>
        <w:rPr>
          <w:b/>
          <w:bCs/>
          <w:sz w:val="20"/>
          <w:szCs w:val="20"/>
        </w:rPr>
        <w:t xml:space="preserve">Shareholding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Promoter %</w:t>
            </w:r>
          </w:p>
        </w:tc>
        <w:tc>
          <w:tcPr>
            <w:tcW w:type="dxa" w:w="5800"/>
          </w:tcPr>
          <w:p>
            <w:r>
              <w:t xml:space="preserve">57.16% (stable)</w:t>
            </w:r>
          </w:p>
        </w:tc>
      </w:tr>
      <w:tr>
        <w:tc>
          <w:tcPr>
            <w:tcW w:type="dxa" w:w="3200"/>
            <w:shd w:fill="F2F2F2" w:val="clear"/>
          </w:tcPr>
          <w:p>
            <w:r>
              <w:rPr>
                <w:b/>
                <w:bCs/>
              </w:rPr>
              <w:t xml:space="preserve">Pledge %</w:t>
            </w:r>
          </w:p>
        </w:tc>
        <w:tc>
          <w:tcPr>
            <w:tcW w:type="dxa" w:w="5800"/>
          </w:tcPr>
          <w:p>
            <w:r>
              <w:t xml:space="preserve">0% (stable)</w:t>
            </w:r>
          </w:p>
        </w:tc>
      </w:tr>
      <w:tr>
        <w:tc>
          <w:tcPr>
            <w:tcW w:type="dxa" w:w="3200"/>
            <w:shd w:fill="F2F2F2" w:val="clear"/>
          </w:tcPr>
          <w:p>
            <w:r>
              <w:rPr>
                <w:b/>
                <w:bCs/>
              </w:rPr>
              <w:t xml:space="preserve">FII/DII %</w:t>
            </w:r>
          </w:p>
        </w:tc>
        <w:tc>
          <w:tcPr>
            <w:tcW w:type="dxa" w:w="5800"/>
          </w:tcPr>
          <w:p>
            <w:r>
              <w:t xml:space="preserve">0.62% (unclear)</w:t>
            </w:r>
          </w:p>
        </w:tc>
      </w:tr>
      <w:tr>
        <w:tc>
          <w:tcPr>
            <w:tcW w:type="dxa" w:w="3200"/>
            <w:shd w:fill="F2F2F2" w:val="clear"/>
          </w:tcPr>
          <w:p>
            <w:r>
              <w:rPr>
                <w:b/>
                <w:bCs/>
              </w:rPr>
              <w:t xml:space="preserve">Quarters checked</w:t>
            </w:r>
          </w:p>
        </w:tc>
        <w:tc>
          <w:tcPr>
            <w:tcW w:type="dxa" w:w="5800"/>
          </w:tcPr>
          <w:p>
            <w:r>
              <w:t xml:space="preserve">Mar 2026</w:t>
            </w:r>
          </w:p>
        </w:tc>
      </w:tr>
    </w:tbl>
    <w:p>
      <w:pPr>
        <w:spacing w:after="120"/>
      </w:pPr>
      <w:r>
        <w:rPr>
          <w:color w:val="666666"/>
          <w:sz w:val="18"/>
          <w:szCs w:val="18"/>
        </w:rPr>
        <w:t xml:space="preserve">Only one recent quarter's shareholding pattern was cleanly sourced this pass (Mar 2026: 57.16% promoter / 0.58% FII / 0.04% DII / 42.22% public, 0% pledge) - insufficient history to call a multi-quarter trend with confidence; no pledge or promoter-selling signal found.</w:t>
      </w:r>
    </w:p>
    <w:p>
      <w:pPr>
        <w:spacing w:after="120"/>
      </w:pPr>
      <w:r>
        <w:rPr>
          <w:b/>
          <w:bCs/>
          <w:sz w:val="20"/>
          <w:szCs w:val="20"/>
        </w:rPr>
        <w:t xml:space="preserve">Working capital: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Inventory days</w:t>
            </w:r>
          </w:p>
        </w:tc>
        <w:tc>
          <w:tcPr>
            <w:tcW w:type="dxa" w:w="5800"/>
          </w:tcPr>
          <w:p>
            <w:r>
              <w:t xml:space="preserve">—</w:t>
            </w:r>
          </w:p>
        </w:tc>
      </w:tr>
      <w:tr>
        <w:tc>
          <w:tcPr>
            <w:tcW w:type="dxa" w:w="3200"/>
            <w:shd w:fill="F2F2F2" w:val="clear"/>
          </w:tcPr>
          <w:p>
            <w:r>
              <w:rPr>
                <w:b/>
                <w:bCs/>
              </w:rPr>
              <w:t xml:space="preserve">Receivable days</w:t>
            </w:r>
          </w:p>
        </w:tc>
        <w:tc>
          <w:tcPr>
            <w:tcW w:type="dxa" w:w="5800"/>
          </w:tcPr>
          <w:p>
            <w:r>
              <w:t xml:space="preserve">87</w:t>
            </w:r>
          </w:p>
        </w:tc>
      </w:tr>
      <w:tr>
        <w:tc>
          <w:tcPr>
            <w:tcW w:type="dxa" w:w="3200"/>
            <w:shd w:fill="F2F2F2" w:val="clear"/>
          </w:tcPr>
          <w:p>
            <w:r>
              <w:rPr>
                <w:b/>
                <w:bCs/>
              </w:rPr>
              <w:t xml:space="preserve">Payable days</w:t>
            </w:r>
          </w:p>
        </w:tc>
        <w:tc>
          <w:tcPr>
            <w:tcW w:type="dxa" w:w="5800"/>
          </w:tcPr>
          <w:p>
            <w:r>
              <w:t xml:space="preserve">—</w:t>
            </w:r>
          </w:p>
        </w:tc>
      </w:tr>
      <w:tr>
        <w:tc>
          <w:tcPr>
            <w:tcW w:type="dxa" w:w="3200"/>
            <w:shd w:fill="F2F2F2" w:val="clear"/>
          </w:tcPr>
          <w:p>
            <w:r>
              <w:rPr>
                <w:b/>
                <w:bCs/>
              </w:rPr>
              <w:t xml:space="preserve">Cash conversion cycle</w:t>
            </w:r>
          </w:p>
        </w:tc>
        <w:tc>
          <w:tcPr>
            <w:tcW w:type="dxa" w:w="5800"/>
          </w:tcPr>
          <w:p>
            <w:r>
              <w:t xml:space="preserve">—</w:t>
            </w:r>
          </w:p>
        </w:tc>
      </w:tr>
      <w:tr>
        <w:tc>
          <w:tcPr>
            <w:tcW w:type="dxa" w:w="3200"/>
            <w:shd w:fill="F2F2F2" w:val="clear"/>
          </w:tcPr>
          <w:p>
            <w:r>
              <w:rPr>
                <w:b/>
                <w:bCs/>
              </w:rPr>
              <w:t xml:space="preserve">3y trend</w:t>
            </w:r>
          </w:p>
        </w:tc>
        <w:tc>
          <w:tcPr>
            <w:tcW w:type="dxa" w:w="5800"/>
          </w:tcPr>
          <w:p>
            <w:r>
              <w:t xml:space="preserve">improving</w:t>
            </w:r>
          </w:p>
        </w:tc>
      </w:tr>
      <w:tr>
        <w:tc>
          <w:tcPr>
            <w:tcW w:type="dxa" w:w="3200"/>
            <w:shd w:fill="F2F2F2" w:val="clear"/>
          </w:tcPr>
          <w:p>
            <w:r>
              <w:rPr>
                <w:b/>
                <w:bCs/>
              </w:rPr>
              <w:t xml:space="preserve">Vs sector</w:t>
            </w:r>
          </w:p>
        </w:tc>
        <w:tc>
          <w:tcPr>
            <w:tcW w:type="dxa" w:w="5800"/>
          </w:tcPr>
          <w:p>
            <w:r>
              <w:t xml:space="preserve">unclear</w:t>
            </w:r>
          </w:p>
        </w:tc>
      </w:tr>
    </w:tbl>
    <w:p>
      <w:pPr>
        <w:spacing w:after="120"/>
      </w:pPr>
      <w:r>
        <w:rPr>
          <w:color w:val="666666"/>
          <w:sz w:val="18"/>
          <w:szCs w:val="18"/>
        </w:rPr>
        <w:t xml:space="preserve">Debtor days improved from 130 to 87 over the trailing period per screener data - a real working-capital discipline improvement alongside the revenue growth; inventory and payable days not cleanly sourced this pass, so the full cash-conversion-cycle figure is left incomplete rather than estimated.</w:t>
      </w:r>
    </w:p>
    <w:p>
      <w:pPr>
        <w:spacing w:after="120"/>
      </w:pPr>
      <w:r>
        <w:rPr>
          <w:b/>
          <w:bCs/>
          <w:sz w:val="20"/>
          <w:szCs w:val="20"/>
        </w:rPr>
        <w:t xml:space="preserve">Sector KPIs:</w:t>
      </w:r>
    </w:p>
    <w:p>
      <w:pPr>
        <w:pStyle w:val="ListParagraph"/>
        <w:numPr>
          <w:ilvl w:val="0"/>
          <w:numId w:val="1"/>
        </w:numPr>
        <w:spacing w:after="60"/>
      </w:pPr>
      <w:r>
        <w:t xml:space="preserve">Manufacturing capacity: 2,500 MVA -&gt; 9,000 MVA (Kanpur facility ~95% complete) (improving) — 3.6x capacity increase; the key medium-term re-rating lever if utilisation ramps as guided</w:t>
      </w:r>
    </w:p>
    <w:p>
      <w:pPr>
        <w:pStyle w:val="ListParagraph"/>
        <w:numPr>
          <w:ilvl w:val="0"/>
          <w:numId w:val="1"/>
        </w:numPr>
        <w:spacing w:after="60"/>
      </w:pPr>
      <w:r>
        <w:t xml:space="preserve">New-plant utilisation: 20-28% currently, guided to 30-50% by Q4 FY27 (improving) — The main near-term execution risk/watch item</w:t>
      </w:r>
    </w:p>
    <w:p>
      <w:pPr>
        <w:pStyle w:val="ListParagraph"/>
        <w:numPr>
          <w:ilvl w:val="0"/>
          <w:numId w:val="1"/>
        </w:numPr>
        <w:spacing w:after="60"/>
      </w:pPr>
      <w:r>
        <w:t xml:space="preserve">Order book / FY27 guided revenue: Rs 590 Cr order book vs Rs 250-300 Cr conservative FY27 revenue guidance (~2x cover) (improving) — 80-85% of the order book is covered by price-variation clauses; 7-17 month execution timelines</w:t>
      </w:r>
    </w:p>
    <w:p>
      <w:pPr>
        <w:pStyle w:val="ListParagraph"/>
        <w:numPr>
          <w:ilvl w:val="0"/>
          <w:numId w:val="1"/>
        </w:numPr>
        <w:spacing w:after="60"/>
      </w:pPr>
      <w:r>
        <w:t xml:space="preserve">Order-book mix: 30.1% government / 69.9% private; power transformers 76.9% of orders (stable) — Balanced customer mix, no disclosed concentration risk this pass</w:t>
      </w:r>
    </w:p>
    <w:p>
      <w:pPr>
        <w:pStyle w:val="Heading1"/>
        <w:spacing w:after="120" w:before="280"/>
      </w:pPr>
      <w:r>
        <w:t xml:space="preserve">Technical Read (Weekly / Monthly MACD + Bollinger Bands, or RSI/CCI/Williams %R proxy)</w:t>
      </w:r>
    </w:p>
    <w:p>
      <w:pPr>
        <w:spacing w:after="120"/>
      </w:pPr>
      <w:r>
        <w:t xml:space="preserve">52-week range Rs 130.55-291.35, currently ~Rs 207 - large amplitude typical of a small-cap capacity-ramp re-rating story; not independently re-verified against the 30W EMA this pass.</w:t>
      </w:r>
    </w:p>
    <w:p>
      <w:pPr>
        <w:pStyle w:val="Heading1"/>
        <w:spacing w:after="120" w:before="280"/>
      </w:pPr>
      <w:r>
        <w:t xml:space="preserve">ValuePickr Community Signal</w:t>
      </w:r>
    </w:p>
    <w:p>
      <w:pPr>
        <w:spacing w:after="120"/>
      </w:pPr>
      <w:r>
        <w:t xml:space="preserve">ValuePickr thread found (topic_id 200050, 'Supreme Power Equipment Ltd') but not deep-read this pass (forum-thread reading is outside this pass's WebSearch/WebFetch budget for filings/concalls) - a dedicated thread exists, suggesting some community coverage, but independent corroboration is not yet confirmed.</w:t>
      </w:r>
    </w:p>
    <w:p>
      <w:pPr>
        <w:spacing w:after="120"/>
      </w:pPr>
      <w:r>
        <w:rPr>
          <w:b/>
          <w:bCs/>
          <w:sz w:val="20"/>
          <w:szCs w:val="20"/>
        </w:rPr>
        <w:t xml:space="preserve">High-conviction call from a top contributor: </w:t>
      </w:r>
      <w:r>
        <w:rPr>
          <w:sz w:val="20"/>
          <w:szCs w:val="20"/>
        </w:rPr>
        <w:t xml:space="preserve">Not read this pass (thread exists but not opened).</w:t>
      </w:r>
    </w:p>
    <w:p>
      <w:pPr>
        <w:pStyle w:val="Heading1"/>
        <w:spacing w:after="120" w:before="280"/>
      </w:pPr>
      <w:r>
        <w:t xml:space="preserve">BSE Corporate Actions / Other Red Flags</w:t>
      </w:r>
    </w:p>
    <w:p>
      <w:pPr>
        <w:spacing w:after="120"/>
      </w:pPr>
      <w:r>
        <w:t xml:space="preserve">No red flags found in this pass (no CIRP/negative net worth/SEBI action/promoter-pledge/auditor-resignation signals surfaced); no significant auditor concerns noted in available summaries. Zero dividend payout history to date.</w:t>
      </w:r>
    </w:p>
    <w:p>
      <w:pPr>
        <w:pStyle w:val="Heading1"/>
        <w:spacing w:after="120" w:before="280"/>
      </w:pPr>
      <w:r>
        <w:t xml:space="preserve">Bull Case</w:t>
      </w:r>
    </w:p>
    <w:p>
      <w:pPr>
        <w:pStyle w:val="ListParagraph"/>
        <w:numPr>
          <w:ilvl w:val="0"/>
          <w:numId w:val="1"/>
        </w:numPr>
        <w:spacing w:after="60"/>
      </w:pPr>
      <w:r>
        <w:t xml:space="preserve">31%+ FY26 revenue growth (36% 3-yr CAGR) driven by real power-sector and renewables transformer demand, now backed by a large funded capacity expansion (2,500 -&gt; 9,000 MVA, ~95% complete)</w:t>
      </w:r>
    </w:p>
    <w:p>
      <w:pPr>
        <w:pStyle w:val="ListParagraph"/>
        <w:numPr>
          <w:ilvl w:val="0"/>
          <w:numId w:val="1"/>
        </w:numPr>
        <w:spacing w:after="60"/>
      </w:pPr>
      <w:r>
        <w:t xml:space="preserve">Near debt-free (D/E ~0.08x), ROCE ~21.5%, ROE ~19-23% depending on window</w:t>
      </w:r>
    </w:p>
    <w:p>
      <w:pPr>
        <w:pStyle w:val="ListParagraph"/>
        <w:numPr>
          <w:ilvl w:val="0"/>
          <w:numId w:val="1"/>
        </w:numPr>
        <w:spacing w:after="60"/>
      </w:pPr>
      <w:r>
        <w:t xml:space="preserve">Order book of Rs 590 Cr (mid-Aug 2026) covers ~2x the company's own conservative FY27 revenue guidance (Rs 250-300 Cr), with 80-85% of the book protected by price-variation clauses against commodity swings</w:t>
      </w:r>
    </w:p>
    <w:p>
      <w:pPr>
        <w:pStyle w:val="ListParagraph"/>
        <w:numPr>
          <w:ilvl w:val="0"/>
          <w:numId w:val="1"/>
        </w:numPr>
        <w:spacing w:after="60"/>
      </w:pPr>
      <w:r>
        <w:t xml:space="preserve">Management guidance is conservative relative to the order book (a good under-promise signal), and product mix skews toward higher-margin power transformers (76.9% of orders)</w:t>
      </w:r>
    </w:p>
    <w:p>
      <w:pPr>
        <w:pStyle w:val="ListParagraph"/>
        <w:numPr>
          <w:ilvl w:val="0"/>
          <w:numId w:val="1"/>
        </w:numPr>
        <w:spacing w:after="60"/>
      </w:pPr>
      <w:r>
        <w:t xml:space="preserve">Potential differentiation in the 220kV segment, where competitors (Shilchar, Voltamp) are largely under-represented (mostly ≤132kV) - a genuine niche if it holds at scale</w:t>
      </w:r>
    </w:p>
    <w:p>
      <w:pPr>
        <w:pStyle w:val="ListParagraph"/>
        <w:numPr>
          <w:ilvl w:val="0"/>
          <w:numId w:val="1"/>
        </w:numPr>
        <w:spacing w:after="60"/>
      </w:pPr>
      <w:r>
        <w:t xml:space="preserve">Debtor days improved from 130 to 87 - a real working-capital discipline improvement alongside the growth</w:t>
      </w:r>
    </w:p>
    <w:p>
      <w:pPr>
        <w:pStyle w:val="Heading1"/>
        <w:spacing w:after="120" w:before="280"/>
      </w:pPr>
      <w:r>
        <w:t xml:space="preserve">Bear Case / Key Risks</w:t>
      </w:r>
    </w:p>
    <w:p>
      <w:pPr>
        <w:pStyle w:val="ListParagraph"/>
        <w:numPr>
          <w:ilvl w:val="0"/>
          <w:numId w:val="1"/>
        </w:numPr>
        <w:spacing w:after="60"/>
      </w:pPr>
      <w:r>
        <w:t xml:space="preserve">Profit growth has lagged revenue growth for two straight periods (FY26 PAT +9.9% vs revenue +31.3%; Q1 FY27 PAT +10.0% vs revenue +37.3%) on new-plant overhead absorption - the capacity ramp is a real near-term earnings drag, not yet resolved</w:t>
      </w:r>
    </w:p>
    <w:p>
      <w:pPr>
        <w:pStyle w:val="ListParagraph"/>
        <w:numPr>
          <w:ilvl w:val="0"/>
          <w:numId w:val="1"/>
        </w:numPr>
        <w:spacing w:after="60"/>
      </w:pPr>
      <w:r>
        <w:t xml:space="preserve">New Kanpur facility running at only 20-28% utilisation (guided to 30-50% by Q4 FY27) - a long runway before the 3.6x capacity actually earns its keep, with meaningful execution risk if utilisation ramps slower than guided</w:t>
      </w:r>
    </w:p>
    <w:p>
      <w:pPr>
        <w:pStyle w:val="ListParagraph"/>
        <w:numPr>
          <w:ilvl w:val="0"/>
          <w:numId w:val="1"/>
        </w:numPr>
        <w:spacing w:after="60"/>
      </w:pPr>
      <w:r>
        <w:t xml:space="preserve">FY26 free cash flow was negative (OCF ~Rs 28 Cr vs capex ~Rs 40 Cr) - a genuine capex-ramp pattern, but management has flagged potential equity dilution by FY28 for continued expansion, a real overhang</w:t>
      </w:r>
    </w:p>
    <w:p>
      <w:pPr>
        <w:pStyle w:val="ListParagraph"/>
        <w:numPr>
          <w:ilvl w:val="0"/>
          <w:numId w:val="1"/>
        </w:numPr>
        <w:spacing w:after="60"/>
      </w:pPr>
      <w:r>
        <w:t xml:space="preserve">Crowded, commoditized transformer-manufacturing peer set (Shilchar, TARIL, Voltamp, Raychem RPG, Danish Power) with no independently-verified differentiated moat beyond the unproven 220kV positioning claim</w:t>
      </w:r>
    </w:p>
    <w:p>
      <w:pPr>
        <w:pStyle w:val="ListParagraph"/>
        <w:numPr>
          <w:ilvl w:val="0"/>
          <w:numId w:val="1"/>
        </w:numPr>
        <w:spacing w:after="60"/>
      </w:pPr>
      <w:r>
        <w:t xml:space="preserve">No export orders secured to date; management itself says meaningful export traction is 'a few more years' away - the domestic-only TAM caps near-term upside magnitude</w:t>
      </w:r>
    </w:p>
    <w:p>
      <w:pPr>
        <w:pStyle w:val="ListParagraph"/>
        <w:numPr>
          <w:ilvl w:val="0"/>
          <w:numId w:val="1"/>
        </w:numPr>
        <w:spacing w:after="60"/>
      </w:pPr>
      <w:r>
        <w:t xml:space="preserve">P/E ~25-26x already prices in a good chunk of the growth story; land constraints at the Kanpur site limit further capacity expansion beyond the current build without a new site</w:t>
      </w:r>
    </w:p>
    <w:p>
      <w:pPr>
        <w:pStyle w:val="ListParagraph"/>
        <w:numPr>
          <w:ilvl w:val="0"/>
          <w:numId w:val="1"/>
        </w:numPr>
        <w:spacing w:after="60"/>
      </w:pPr>
      <w:r>
        <w:t xml:space="preserve">X source is untrusted/medium-conviction only; ValuePickr thread (200050) exists but has not been independently read/corroborated</w:t>
      </w:r>
    </w:p>
    <w:p>
      <w:pPr>
        <w:pStyle w:val="Heading1"/>
        <w:spacing w:after="120" w:before="280"/>
      </w:pPr>
      <w:r>
        <w:t xml:space="preserve">Market-Cap Tier (informational — not a gate in this project)</w:t>
      </w:r>
    </w:p>
    <w:p>
      <w:pPr>
        <w:spacing w:after="120"/>
      </w:pPr>
      <w:r>
        <w:rPr>
          <w:b/>
          <w:bCs/>
        </w:rPr>
        <w:t xml:space="preserve">Small-cap (~Rs 520-555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Real power-capex/renewables tailwind and a specific, funded capacity-doubling-plus execution story support tailwind=yes; TAM capped by domestic-only exposure (no exports yet, land-constrained beyond current build) and moat unproven beyond an unverified 220kV niche claim in a crowded peer field; valuation (~25-26x) is not cheap for a business whose PAT growth currently lags revenue growth on overhead absorption - kept at 'neither'.</w:t>
      </w:r>
    </w:p>
    <w:p>
      <w:pPr>
        <w:pStyle w:val="Heading1"/>
        <w:spacing w:after="120" w:before="280"/>
      </w:pPr>
      <w:r>
        <w:t xml:space="preserve">Verdict</w:t>
      </w:r>
    </w:p>
    <w:p>
      <w:pPr>
        <w:spacing w:after="120"/>
      </w:pPr>
      <w:r>
        <w:rPr>
          <w:b/>
          <w:bCs/>
          <w:sz w:val="24"/>
          <w:szCs w:val="24"/>
        </w:rPr>
        <w:t xml:space="preserve">Fast-growing, debt-free small-cap transformer maker with a real, funded 3.6x capacity expansion and an order book covering ~2x conservative guidance - a genuine capex-ramp inflection story, but profit growth is lagging revenue growth on new-plant overhead absorption and moat vs the established peer set remains unproven beyond a 220kV niche claim. Conviction stays Medium; thesis_fit stays 'neither' on a four_box score of 2.5.</w:t>
      </w:r>
    </w:p>
    <w:p>
      <w:pPr>
        <w:pStyle w:val="ListParagraph"/>
        <w:numPr>
          <w:ilvl w:val="0"/>
          <w:numId w:val="1"/>
        </w:numPr>
        <w:spacing w:after="60"/>
      </w:pPr>
      <w:r>
        <w:t xml:space="preserve">four_box re-derived at 2.5 (tailwind yes - real power-capex/renewables demand plus a specific 220kV under-served niche; tam weak - domestic-only, no exports yet, and land-constrained beyond the current build; moat weak - crowded peer set, 220kV positioning is a plausible but unproven differentiator; valuation weak - P/E ~25-26x is not a bargain for a business whose PAT growth is currently lagging revenue growth). 2.5 sits in the 2.0-2.5 band, which mandates thesis_fit 'neither' with no clean written exception (valuation is not 'yes', and growth, while genuinely strong on revenue, is not yet un-ignorable on the bottom line given the overhead-absorption drag) - no analyst_override needed since the score itself now dictates 'neither'.</w:t>
      </w:r>
    </w:p>
    <w:p>
      <w:pPr>
        <w:pStyle w:val="ListParagraph"/>
        <w:numPr>
          <w:ilvl w:val="0"/>
          <w:numId w:val="1"/>
        </w:numPr>
        <w:spacing w:after="60"/>
      </w:pPr>
      <w:r>
        <w:t xml:space="preserve">Conviction held at Medium rather than upgraded: the capacity-expansion execution (95% complete, on the guided utilisation ramp) and disciplined order-book/guidance behaviour are real positives that keep this above Low-Medium, but the lack of independent ValuePickr-thread corroboration this pass, the unresolved profit-vs-revenue growth gap, and the flagged FY28 equity-dilution risk keep it from moving to Medium-High.</w:t>
      </w:r>
    </w:p>
    <w:p>
      <w:pPr>
        <w:pStyle w:val="ListParagraph"/>
        <w:numPr>
          <w:ilvl w:val="0"/>
          <w:numId w:val="1"/>
        </w:numPr>
        <w:spacing w:after="60"/>
      </w:pPr>
      <w:r>
        <w:t xml:space="preserve">No red flag found this pass; near-zero debt and no pledge/governance issues surfaced.</w:t>
      </w:r>
    </w:p>
    <w:p>
      <w:pPr>
        <w:pStyle w:val="ListParagraph"/>
        <w:numPr>
          <w:ilvl w:val="0"/>
          <w:numId w:val="1"/>
        </w:numPr>
        <w:spacing w:after="60"/>
      </w:pPr>
      <w:r>
        <w:t xml:space="preserve">The Kanpur utilisation ramp (20-28% now, guided 30-50% by Q4 FY27) and the FY27 revenue delivery against the Rs 590 Cr order book are the key things to track before conviction could move meaningfully in either direction.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2026-09-19T03:31:55.568Z</dcterms:created>
  <dcterms:modified xsi:type="dcterms:W3CDTF">2026-09-19T03:31:55.568Z</dcterms:modified>
</cp:coreProperties>
</file>

<file path=docProps/custom.xml><?xml version="1.0" encoding="utf-8"?>
<Properties xmlns="http://schemas.openxmlformats.org/officeDocument/2006/custom-properties" xmlns:vt="http://schemas.openxmlformats.org/officeDocument/2006/docPropsVTypes"/>
</file>