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5F"/>
          <w:sz w:val="44"/>
          <w:szCs w:val="44"/>
        </w:rPr>
        <w:t xml:space="preserve">TGV SRAAC Ltd</w:t>
      </w:r>
    </w:p>
    <w:p>
      <w:pPr>
        <w:pBdr>
          <w:bottom w:val="single" w:color="CCCCCC" w:sz="6" w:space="8"/>
        </w:pBdr>
        <w:spacing w:after="200"/>
      </w:pPr>
      <w:r>
        <w:rPr>
          <w:i/>
          <w:iCs/>
          <w:color w:val="666666"/>
          <w:sz w:val="22"/>
          <w:szCs w:val="22"/>
        </w:rPr>
        <w:t xml:space="preserve">Forward-integrated, low-cost chlor-alkali producer trading below book value on a genuine solar-driven cost reduction, but Q4 FY26 already shows the caustic tailwind cooling just as Reliance/Adani's confirmed large new capacity looms for 2027-28</w:t>
      </w:r>
    </w:p>
    <w:p>
      <w:pPr>
        <w:pStyle w:val="Heading1"/>
        <w:spacing w:after="120" w:before="280"/>
      </w:pPr>
      <w:r>
        <w:t xml:space="preserve">Business Overview</w:t>
      </w:r>
    </w:p>
    <w:p>
      <w:pPr>
        <w:spacing w:after="120"/>
      </w:pPr>
      <w:r>
        <w:t xml:space="preserve">TGV SRAAC (formerly Sree Rayalseema Alkalies &amp; Allied Chemicals) produces chlor-alkali products (caustic soda, chlorine), chloromethanes, castor derivatives and fatty acids, with a strategy of forward-integrating chlorine into higher-value downstream chemicals and aggressively adding captive solar power to cut input costs.</w:t>
      </w:r>
    </w:p>
    <w:p>
      <w:pPr>
        <w:pStyle w:val="Heading1"/>
        <w:spacing w:after="120" w:before="280"/>
      </w:pPr>
      <w:r>
        <w:t xml:space="preserve">Fundamentals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Market Cap</w:t>
            </w:r>
          </w:p>
        </w:tc>
        <w:tc>
          <w:tcPr>
            <w:tcW w:type="dxa" w:w="5800"/>
          </w:tcPr>
          <w:p>
            <w:r>
              <w:t xml:space="preserve">~Rs 1,093 Cr</w:t>
            </w:r>
          </w:p>
        </w:tc>
      </w:tr>
      <w:tr>
        <w:tc>
          <w:tcPr>
            <w:tcW w:type="dxa" w:w="3200"/>
            <w:shd w:fill="F2F2F2" w:val="clear"/>
          </w:tcPr>
          <w:p>
            <w:r>
              <w:rPr>
                <w:b/>
                <w:bCs/>
              </w:rPr>
              <w:t xml:space="preserve">ROCE</w:t>
            </w:r>
          </w:p>
        </w:tc>
        <w:tc>
          <w:tcPr>
            <w:tcW w:type="dxa" w:w="5800"/>
          </w:tcPr>
          <w:p>
            <w:r>
              <w:t xml:space="preserve">13.0%</w:t>
            </w:r>
          </w:p>
        </w:tc>
      </w:tr>
      <w:tr>
        <w:tc>
          <w:tcPr>
            <w:tcW w:type="dxa" w:w="3200"/>
            <w:shd w:fill="F2F2F2" w:val="clear"/>
          </w:tcPr>
          <w:p>
            <w:r>
              <w:rPr>
                <w:b/>
                <w:bCs/>
              </w:rPr>
              <w:t xml:space="preserve">ROE</w:t>
            </w:r>
          </w:p>
        </w:tc>
        <w:tc>
          <w:tcPr>
            <w:tcW w:type="dxa" w:w="5800"/>
          </w:tcPr>
          <w:p>
            <w:r>
              <w:t xml:space="preserve">10.5% (7.26% 3-yr avg)</w:t>
            </w:r>
          </w:p>
        </w:tc>
      </w:tr>
      <w:tr>
        <w:tc>
          <w:tcPr>
            <w:tcW w:type="dxa" w:w="3200"/>
            <w:shd w:fill="F2F2F2" w:val="clear"/>
          </w:tcPr>
          <w:p>
            <w:r>
              <w:rPr>
                <w:b/>
                <w:bCs/>
              </w:rPr>
              <w:t xml:space="preserve">Stock P/E</w:t>
            </w:r>
          </w:p>
        </w:tc>
        <w:tc>
          <w:tcPr>
            <w:tcW w:type="dxa" w:w="5800"/>
          </w:tcPr>
          <w:p>
            <w:r>
              <w:t xml:space="preserve">7.88 (P/B 0.85x)</w:t>
            </w:r>
          </w:p>
        </w:tc>
      </w:tr>
      <w:tr>
        <w:tc>
          <w:tcPr>
            <w:tcW w:type="dxa" w:w="3200"/>
            <w:shd w:fill="F2F2F2" w:val="clear"/>
          </w:tcPr>
          <w:p>
            <w:r>
              <w:rPr>
                <w:b/>
                <w:bCs/>
              </w:rPr>
              <w:t xml:space="preserve">Revenue growth</w:t>
            </w:r>
          </w:p>
        </w:tc>
        <w:tc>
          <w:tcPr>
            <w:tcW w:type="dxa" w:w="5800"/>
          </w:tcPr>
          <w:p>
            <w:r>
              <w:t xml:space="preserve">13.2% (FY26 full year)</w:t>
            </w:r>
          </w:p>
        </w:tc>
      </w:tr>
      <w:tr>
        <w:tc>
          <w:tcPr>
            <w:tcW w:type="dxa" w:w="3200"/>
            <w:shd w:fill="F2F2F2" w:val="clear"/>
          </w:tcPr>
          <w:p>
            <w:r>
              <w:rPr>
                <w:b/>
                <w:bCs/>
              </w:rPr>
              <w:t xml:space="preserve">52-week range</w:t>
            </w:r>
          </w:p>
        </w:tc>
        <w:tc>
          <w:tcPr>
            <w:tcW w:type="dxa" w:w="5800"/>
          </w:tcPr>
          <w:p>
            <w:r>
              <w:t xml:space="preserve">Rs 78.10 - 142.25</w:t>
            </w:r>
          </w:p>
        </w:tc>
      </w:tr>
    </w:tbl>
    <w:p>
      <w:pPr>
        <w:spacing w:after="100"/>
      </w:pPr>
    </w:p>
    <w:p>
      <w:pPr>
        <w:spacing w:after="120"/>
      </w:pPr>
      <w:r>
        <w:t xml:space="preserve">Cheap on an absolute basis (7.9x trailing P/E, 0.85x book) with double-digit ROCE and continuing growth: FY26 full year sales +13.2% to Rs 1,749 Cr, net profit +53.3% to Rs 92 Cr; Q1 FY27 (Jun 2026) sales Rs 543 Cr (+10.3% YoY), PAT ~Rs 45 Cr (+17.2% YoY, EPS Rs 4.24). But Q4 FY26 already showed the first signs of the margin cycle turning: OPM contracted 72bps QoQ to 16.56% (gross margin 17.81%-&gt;15.72%) on rising employee costs (+10.26% QoQ) and interest expense (+76% QoQ) — a caution flag given the 3-year average ROE is only 7.26% and 3-year profit CAGR is -29% (FY24 cycle trough: sales -34%, OPM cratered to 3.8%).</w:t>
      </w:r>
    </w:p>
    <w:p>
      <w:pPr>
        <w:pStyle w:val="Heading1"/>
        <w:spacing w:after="120" w:before="280"/>
      </w:pPr>
      <w:r>
        <w:t xml:space="preserve">Deep-Dive: Primary Documents (Annual Reports, Quarterly Results, Exchange Filings)</w:t>
      </w:r>
    </w:p>
    <w:p>
      <w:pPr>
        <w:spacing w:after="120"/>
      </w:pPr>
      <w:r>
        <w:rPr>
          <w:i/>
          <w:iCs/>
          <w:color w:val="666666"/>
          <w:sz w:val="18"/>
          <w:szCs w:val="18"/>
        </w:rPr>
        <w:t xml:space="preserve">Pass 1 — 2026-09-18. Built from the company's own filings (3 years of annual reports, ~4 quarters of results/concalls, and 6 months of BSE/NSE announcements), read via the web — a deeper layer than the forum-sentiment read below.</w:t>
      </w:r>
    </w:p>
    <w:p>
      <w:pPr>
        <w:spacing w:after="120"/>
      </w:pPr>
      <w:r>
        <w:rPr>
          <w:b/>
          <w:bCs/>
          <w:sz w:val="20"/>
          <w:szCs w:val="20"/>
        </w:rPr>
        <w:t xml:space="preserve">Sources reviewed this pass:</w:t>
      </w:r>
    </w:p>
    <w:p>
      <w:pPr>
        <w:pStyle w:val="ListParagraph"/>
        <w:numPr>
          <w:ilvl w:val="0"/>
          <w:numId w:val="1"/>
        </w:numPr>
        <w:spacing w:after="60"/>
      </w:pPr>
      <w:r>
        <w:t xml:space="preserve">screener.in TGV SRAAC (ROCE/ROE/P/E/P/B/debt/promoter holding)</w:t>
      </w:r>
    </w:p>
    <w:p>
      <w:pPr>
        <w:pStyle w:val="ListParagraph"/>
        <w:numPr>
          <w:ilvl w:val="0"/>
          <w:numId w:val="1"/>
        </w:numPr>
        <w:spacing w:after="60"/>
      </w:pPr>
      <w:r>
        <w:t xml:space="preserve">marketsmojo Q4 FY26 and Q3 FY26 result-analysis articles</w:t>
      </w:r>
    </w:p>
    <w:p>
      <w:pPr>
        <w:pStyle w:val="ListParagraph"/>
        <w:numPr>
          <w:ilvl w:val="0"/>
          <w:numId w:val="1"/>
        </w:numPr>
        <w:spacing w:after="60"/>
      </w:pPr>
      <w:r>
        <w:t xml:space="preserve">scanx.trade Q1 FY27 result summary</w:t>
      </w:r>
    </w:p>
    <w:p>
      <w:pPr>
        <w:pStyle w:val="ListParagraph"/>
        <w:numPr>
          <w:ilvl w:val="0"/>
          <w:numId w:val="1"/>
        </w:numPr>
        <w:spacing w:after="60"/>
      </w:pPr>
      <w:r>
        <w:t xml:space="preserve">BSE/exchange filings on solar capacity additions (Mar-Sep 2026) and six-product-line capacity expansion (Apr 2026)</w:t>
      </w:r>
    </w:p>
    <w:p>
      <w:pPr>
        <w:pStyle w:val="ListParagraph"/>
        <w:numPr>
          <w:ilvl w:val="0"/>
          <w:numId w:val="1"/>
        </w:numPr>
        <w:spacing w:after="60"/>
      </w:pPr>
      <w:r>
        <w:t xml:space="preserve">trendlyne/angelone/equitymaster shareholding-pattern pages</w:t>
      </w:r>
    </w:p>
    <w:p>
      <w:pPr>
        <w:pStyle w:val="ListParagraph"/>
        <w:numPr>
          <w:ilvl w:val="0"/>
          <w:numId w:val="1"/>
        </w:numPr>
        <w:spacing w:after="60"/>
      </w:pPr>
      <w:r>
        <w:t xml:space="preserve">web search on caustic soda price trends (China/India/Europe, 2026)</w:t>
      </w:r>
    </w:p>
    <w:p>
      <w:pPr>
        <w:pStyle w:val="ListParagraph"/>
        <w:numPr>
          <w:ilvl w:val="0"/>
          <w:numId w:val="1"/>
        </w:numPr>
        <w:spacing w:after="60"/>
      </w:pPr>
      <w:r>
        <w:t xml:space="preserve">web search + industry press (Nuberg EPC, Hydrocarbon Processing) on Adani's 2,200 TPD Mundra chlor-alkali project and Reliance capacity additions</w:t>
      </w:r>
    </w:p>
    <w:p>
      <w:pPr>
        <w:spacing w:after="120"/>
      </w:pPr>
      <w:r>
        <w:rPr>
          <w:b/>
          <w:bCs/>
          <w:sz w:val="20"/>
          <w:szCs w:val="20"/>
        </w:rPr>
        <w:t xml:space="preserve">Annual-report findings (3-year view):</w:t>
      </w:r>
    </w:p>
    <w:p>
      <w:pPr>
        <w:pStyle w:val="ListParagraph"/>
        <w:numPr>
          <w:ilvl w:val="0"/>
          <w:numId w:val="1"/>
        </w:numPr>
        <w:spacing w:after="60"/>
      </w:pPr>
      <w:r>
        <w:t xml:space="preserve">FY26 full year: net sales Rs 1,749 Cr (+13.2% YoY), net profit Rs 92 Cr (+53.3% YoY)</w:t>
      </w:r>
    </w:p>
    <w:p>
      <w:pPr>
        <w:pStyle w:val="ListParagraph"/>
        <w:numPr>
          <w:ilvl w:val="0"/>
          <w:numId w:val="1"/>
        </w:numPr>
        <w:spacing w:after="60"/>
      </w:pPr>
      <w:r>
        <w:t xml:space="preserve">3-year average ROE is only 7.26% despite a 10.5% latest-year figure - cyclicality confirmed</w:t>
      </w:r>
    </w:p>
    <w:p>
      <w:pPr>
        <w:pStyle w:val="ListParagraph"/>
        <w:numPr>
          <w:ilvl w:val="0"/>
          <w:numId w:val="1"/>
        </w:numPr>
        <w:spacing w:after="60"/>
      </w:pPr>
      <w:r>
        <w:t xml:space="preserve">Dividend payout has been low at 12.5% of profits over the last 3 years</w:t>
      </w:r>
    </w:p>
    <w:p>
      <w:pPr>
        <w:pStyle w:val="ListParagraph"/>
        <w:numPr>
          <w:ilvl w:val="0"/>
          <w:numId w:val="1"/>
        </w:numPr>
        <w:spacing w:after="60"/>
      </w:pPr>
      <w:r>
        <w:t xml:space="preserve">Debt of Rs 357 Cr (Mar 2026), ~1.1x EBITDA - manageable but not de-risked</w:t>
      </w:r>
    </w:p>
    <w:p>
      <w:pPr>
        <w:pStyle w:val="ListParagraph"/>
        <w:numPr>
          <w:ilvl w:val="0"/>
          <w:numId w:val="1"/>
        </w:numPr>
        <w:spacing w:after="60"/>
      </w:pPr>
      <w:r>
        <w:t xml:space="preserve">Promoter holding 64.27% (Jun 2026), zero pledge</w:t>
      </w:r>
    </w:p>
    <w:p>
      <w:pPr>
        <w:spacing w:after="120"/>
      </w:pPr>
      <w:r>
        <w:rPr>
          <w:b/>
          <w:bCs/>
          <w:sz w:val="20"/>
          <w:szCs w:val="20"/>
        </w:rPr>
        <w:t xml:space="preserve">Quarterly trend (last ~4 quarters + concall commentary):</w:t>
      </w:r>
    </w:p>
    <w:p>
      <w:pPr>
        <w:pStyle w:val="ListParagraph"/>
        <w:numPr>
          <w:ilvl w:val="0"/>
          <w:numId w:val="1"/>
        </w:numPr>
        <w:spacing w:after="60"/>
      </w:pPr>
      <w:r>
        <w:t xml:space="preserve">Q1 FY26: revenue +29%, EBITDA +124%, PAT +182% YoY (adjusted for one-offs) - the cycle upswing base quarter</w:t>
      </w:r>
    </w:p>
    <w:p>
      <w:pPr>
        <w:pStyle w:val="ListParagraph"/>
        <w:numPr>
          <w:ilvl w:val="0"/>
          <w:numId w:val="1"/>
        </w:numPr>
        <w:spacing w:after="60"/>
      </w:pPr>
      <w:r>
        <w:t xml:space="preserve">Q3 FY26: net sales -10.34% QoQ to Rs 448 Cr from Rs 500 Cr, margin contraction flagged by marketsmojo</w:t>
      </w:r>
    </w:p>
    <w:p>
      <w:pPr>
        <w:pStyle w:val="ListParagraph"/>
        <w:numPr>
          <w:ilvl w:val="0"/>
          <w:numId w:val="1"/>
        </w:numPr>
        <w:spacing w:after="60"/>
      </w:pPr>
      <w:r>
        <w:t xml:space="preserve">Q4 FY26: revenue Rs 511 Cr, all-time-high, +14.02% QoQ / +4.99% YoY, but PAT -0.39% QoQ despite the revenue high; OPM down 72bps QoQ to 16.56%, gross margin 17.81%-&gt;15.72%, employee costs +10.26% QoQ, interest expense +76.32% QoQ</w:t>
      </w:r>
    </w:p>
    <w:p>
      <w:pPr>
        <w:pStyle w:val="ListParagraph"/>
        <w:numPr>
          <w:ilvl w:val="0"/>
          <w:numId w:val="1"/>
        </w:numPr>
        <w:spacing w:after="60"/>
      </w:pPr>
      <w:r>
        <w:t xml:space="preserve">Q1 FY27 (Jun 2026): revenue Rs 543 Cr (+10.3% YoY), PAT ~Rs 45 Cr (+17.2% YoY), EPS Rs 4.24 - growth continuing but decelerating off the high FY26 base</w:t>
      </w:r>
    </w:p>
    <w:p>
      <w:pPr>
        <w:spacing w:after="120"/>
      </w:pPr>
      <w:r>
        <w:rPr>
          <w:b/>
          <w:bCs/>
          <w:sz w:val="20"/>
          <w:szCs w:val="20"/>
        </w:rPr>
        <w:t xml:space="preserve">Exchange announcements (last 6 months):</w:t>
      </w:r>
    </w:p>
    <w:p>
      <w:pPr>
        <w:pStyle w:val="ListParagraph"/>
        <w:numPr>
          <w:ilvl w:val="0"/>
          <w:numId w:val="1"/>
        </w:numPr>
        <w:spacing w:after="60"/>
      </w:pPr>
      <w:r>
        <w:t xml:space="preserve">April 2026: capacity expansion across six product lines (KOH +27,150 TPA, Liquid Chlorine +17,160 TPA, Methylene Chloride +17,817 TPA, and others)</w:t>
      </w:r>
    </w:p>
    <w:p>
      <w:pPr>
        <w:pStyle w:val="ListParagraph"/>
        <w:numPr>
          <w:ilvl w:val="0"/>
          <w:numId w:val="1"/>
        </w:numPr>
        <w:spacing w:after="60"/>
      </w:pPr>
      <w:r>
        <w:t xml:space="preserve">March-September 2026: five separate 2.5 MWp captive solar capacity additions, taking total solar from 55.40 MWp to 62.90 MWp</w:t>
      </w:r>
    </w:p>
    <w:p>
      <w:pPr>
        <w:pStyle w:val="ListParagraph"/>
        <w:numPr>
          <w:ilvl w:val="0"/>
          <w:numId w:val="1"/>
        </w:numPr>
        <w:spacing w:after="60"/>
      </w:pPr>
      <w:r>
        <w:t xml:space="preserve">August 10, 2026: board approved Q1 FY27 results</w:t>
      </w:r>
    </w:p>
    <w:p>
      <w:pPr>
        <w:pStyle w:val="ListParagraph"/>
        <w:numPr>
          <w:ilvl w:val="0"/>
          <w:numId w:val="1"/>
        </w:numPr>
        <w:spacing w:after="60"/>
      </w:pPr>
      <w:r>
        <w:t xml:space="preserve">No auditor changes, no fresh contingent-liability escalation, and no fresh pledge activity found this pass</w:t>
      </w:r>
    </w:p>
    <w:p>
      <w:pPr>
        <w:spacing w:after="120"/>
      </w:pPr>
      <w:r>
        <w:rPr>
          <w:b/>
          <w:bCs/>
          <w:sz w:val="20"/>
          <w:szCs w:val="20"/>
        </w:rPr>
        <w:t xml:space="preserve">Key new facts vs. the prior write-up:</w:t>
      </w:r>
    </w:p>
    <w:p>
      <w:pPr>
        <w:pStyle w:val="ListParagraph"/>
        <w:numPr>
          <w:ilvl w:val="0"/>
          <w:numId w:val="1"/>
        </w:numPr>
        <w:spacing w:after="60"/>
      </w:pPr>
      <w:r>
        <w:t xml:space="preserve">Adani's Mundra chlor-alkali project (2,200 TPD) is confirmed by industry press as India's largest chlor-alkali project under construction, materially firming up the 2027-28 oversupply risk that was previously community speculation</w:t>
      </w:r>
    </w:p>
    <w:p>
      <w:pPr>
        <w:pStyle w:val="ListParagraph"/>
        <w:numPr>
          <w:ilvl w:val="0"/>
          <w:numId w:val="1"/>
        </w:numPr>
        <w:spacing w:after="60"/>
      </w:pPr>
      <w:r>
        <w:t xml:space="preserve">Q4 FY26 already shows the caustic margin cycle beginning to turn (72bp sequential OPM compression, rising employee and interest costs) - a live signal that predates the new competing capacity</w:t>
      </w:r>
    </w:p>
    <w:p>
      <w:pPr>
        <w:pStyle w:val="ListParagraph"/>
        <w:numPr>
          <w:ilvl w:val="0"/>
          <w:numId w:val="1"/>
        </w:numPr>
        <w:spacing w:after="60"/>
      </w:pPr>
      <w:r>
        <w:t xml:space="preserve">India-specific caustic soda prices rose ~19% Apr-Jul 2026 on domestic demand, a real and currently-supportive tailwind distinct from the China/Europe story already in the thesis</w:t>
      </w:r>
    </w:p>
    <w:p>
      <w:pPr>
        <w:pStyle w:val="ListParagraph"/>
        <w:numPr>
          <w:ilvl w:val="0"/>
          <w:numId w:val="1"/>
        </w:numPr>
        <w:spacing w:after="60"/>
      </w:pPr>
      <w:r>
        <w:t xml:space="preserve">Trading at 0.85x book value (P/B) alongside 7.9x trailing P/E - genuinely cheap on both metrics</w:t>
      </w:r>
    </w:p>
    <w:p>
      <w:pPr>
        <w:pStyle w:val="ListParagraph"/>
        <w:numPr>
          <w:ilvl w:val="0"/>
          <w:numId w:val="1"/>
        </w:numPr>
        <w:spacing w:after="60"/>
      </w:pPr>
      <w:r>
        <w:t xml:space="preserve">The captive-solar and forward-integration programs are verified as actually executing on a steady cadence (not just announced), via a string of 2026 BSE filings</w:t>
      </w:r>
    </w:p>
    <w:p>
      <w:pPr>
        <w:spacing w:after="120"/>
      </w:pPr>
      <w:r>
        <w:rPr>
          <w:b/>
          <w:bCs/>
          <w:sz w:val="20"/>
          <w:szCs w:val="20"/>
        </w:rPr>
        <w:t xml:space="preserve">Open questions / what to watch:</w:t>
      </w:r>
    </w:p>
    <w:p>
      <w:pPr>
        <w:pStyle w:val="ListParagraph"/>
        <w:numPr>
          <w:ilvl w:val="0"/>
          <w:numId w:val="1"/>
        </w:numPr>
        <w:spacing w:after="60"/>
      </w:pPr>
      <w:r>
        <w:t xml:space="preserve">Whether the Q4FY26 margin compression is a one-off (cost timing) or the start of a genuine cyclical turn</w:t>
      </w:r>
    </w:p>
    <w:p>
      <w:pPr>
        <w:pStyle w:val="ListParagraph"/>
        <w:numPr>
          <w:ilvl w:val="0"/>
          <w:numId w:val="1"/>
        </w:numPr>
        <w:spacing w:after="60"/>
      </w:pPr>
      <w:r>
        <w:t xml:space="preserve">Exact commissioning date for Adani's Mundra project and how much of its capacity is caustic vs other chlor-alkali derivatives</w:t>
      </w:r>
    </w:p>
    <w:p>
      <w:pPr>
        <w:pStyle w:val="ListParagraph"/>
        <w:numPr>
          <w:ilvl w:val="0"/>
          <w:numId w:val="1"/>
        </w:numPr>
        <w:spacing w:after="60"/>
      </w:pPr>
      <w:r>
        <w:t xml:space="preserve">Whether management will address the shareholder-communication gap (concalls, dividend policy) that the community repeatedly flags as the main reason the stock stays cheap</w:t>
      </w:r>
    </w:p>
    <w:p>
      <w:pPr>
        <w:spacing w:after="120" w:before="120"/>
      </w:pPr>
      <w:r>
        <w:rPr>
          <w:b/>
          <w:bCs/>
          <w:sz w:val="20"/>
          <w:szCs w:val="20"/>
        </w:rPr>
        <w:t xml:space="preserve">Conviction impact: </w:t>
      </w:r>
      <w:r>
        <w:rPr>
          <w:sz w:val="20"/>
          <w:szCs w:val="20"/>
        </w:rPr>
        <w:t xml:space="preserve">Medium -&gt; Low-Medium. Fresh filings confirm the business is executing well operationally (solar build-out, forward integration, continued double-digit growth, trades below book), but this pass firms up two cautions that were softer before: the Reliance/Adani 2027-28 oversupply risk is now confirmed via credible industry press rather than just community debate, and Q4FY26 already shows the margin cycle beginning to turn before that new capacity has even landed. The moat read is downgraded from yes to weak (cost cushion, not pricing power), taking four_box score from 3.0 to 2.5. Remains a genuine value/GARP holding, not a 10x thesis.</w:t>
      </w:r>
    </w:p>
    <w:p>
      <w:pPr>
        <w:pStyle w:val="Heading1"/>
        <w:spacing w:after="120" w:before="280"/>
      </w:pPr>
      <w:r>
        <w:t xml:space="preserve">Guidance &amp; Expectation Gap</w:t>
      </w:r>
    </w:p>
    <w:p>
      <w:pPr>
        <w:spacing w:after="120"/>
      </w:pPr>
      <w:r>
        <w:rPr>
          <w:i/>
          <w:iCs/>
          <w:color w:val="666666"/>
          <w:sz w:val="18"/>
          <w:szCs w:val="18"/>
        </w:rPr>
        <w:t xml:space="preserve">Management guidance decoded into commitments, graded on the expectation → action → operational → commercial → financial ladder, then compared to what the current price appears to assume. Method: playbook/guidance-and-expectation-gap.md.</w:t>
      </w:r>
    </w:p>
    <w:p>
      <w:pPr>
        <w:spacing w:after="120"/>
      </w:pPr>
      <w:r>
        <w:rPr>
          <w:b/>
          <w:bCs/>
          <w:sz w:val="20"/>
          <w:szCs w:val="20"/>
        </w:rPr>
        <w:t xml:space="preserve">Commitment ladder (most-proven first):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2400"/>
        <w:gridCol w:w="900"/>
        <w:gridCol w:w="1200"/>
        <w:gridCol w:w="800"/>
      </w:tblGrid>
      <w:tr>
        <w:trPr>
          <w:tblHeader/>
        </w:trPr>
        <w:tc>
          <w:tcPr>
            <w:tcW w:type="dxa" w:w="1100"/>
            <w:shd w:fill="F2F2F2" w:val="clear"/>
          </w:tcPr>
          <w:p>
            <w:r>
              <w:rPr>
                <w:b/>
                <w:bCs/>
                <w:sz w:val="18"/>
                <w:szCs w:val="18"/>
              </w:rPr>
              <w:t xml:space="preserve">Area</w:t>
            </w:r>
          </w:p>
        </w:tc>
        <w:tc>
          <w:tcPr>
            <w:tcW w:type="dxa" w:w="2600"/>
            <w:shd w:fill="F2F2F2" w:val="clear"/>
          </w:tcPr>
          <w:p>
            <w:r>
              <w:rPr>
                <w:b/>
                <w:bCs/>
                <w:sz w:val="18"/>
                <w:szCs w:val="18"/>
              </w:rPr>
              <w:t xml:space="preserve">Commitment</w:t>
            </w:r>
          </w:p>
        </w:tc>
        <w:tc>
          <w:tcPr>
            <w:tcW w:type="dxa" w:w="2400"/>
            <w:shd w:fill="F2F2F2" w:val="clear"/>
          </w:tcPr>
          <w:p>
            <w:r>
              <w:rPr>
                <w:b/>
                <w:bCs/>
                <w:sz w:val="18"/>
                <w:szCs w:val="18"/>
              </w:rPr>
              <w:t xml:space="preserve">Specifics</w:t>
            </w:r>
          </w:p>
        </w:tc>
        <w:tc>
          <w:tcPr>
            <w:tcW w:type="dxa" w:w="900"/>
            <w:shd w:fill="F2F2F2" w:val="clear"/>
          </w:tcPr>
          <w:p>
            <w:r>
              <w:rPr>
                <w:b/>
                <w:bCs/>
                <w:sz w:val="18"/>
                <w:szCs w:val="18"/>
              </w:rPr>
              <w:t xml:space="preserve">By when</w:t>
            </w:r>
          </w:p>
        </w:tc>
        <w:tc>
          <w:tcPr>
            <w:tcW w:type="dxa" w:w="1200"/>
            <w:shd w:fill="F2F2F2" w:val="clear"/>
          </w:tcPr>
          <w:p>
            <w:r>
              <w:rPr>
                <w:b/>
                <w:bCs/>
                <w:sz w:val="18"/>
                <w:szCs w:val="18"/>
              </w:rPr>
              <w:t xml:space="preserve">Stage</w:t>
            </w:r>
          </w:p>
        </w:tc>
        <w:tc>
          <w:tcPr>
            <w:tcW w:type="dxa" w:w="800"/>
            <w:shd w:fill="F2F2F2" w:val="clear"/>
          </w:tcPr>
          <w:p>
            <w:r>
              <w:rPr>
                <w:b/>
                <w:bCs/>
                <w:sz w:val="18"/>
                <w:szCs w:val="18"/>
              </w:rPr>
              <w:t xml:space="preserve">Thesis-critical</w:t>
            </w:r>
          </w:p>
        </w:tc>
      </w:tr>
      <w:tr>
        <w:tc>
          <w:tcPr>
            <w:tcW w:type="dxa" w:w="1100"/>
          </w:tcPr>
          <w:p>
            <w:r>
              <w:rPr>
                <w:b w:val="false"/>
                <w:bCs w:val="false"/>
                <w:sz w:val="18"/>
                <w:szCs w:val="18"/>
              </w:rPr>
              <w:t xml:space="preserve">capacity</w:t>
            </w:r>
          </w:p>
        </w:tc>
        <w:tc>
          <w:tcPr>
            <w:tcW w:type="dxa" w:w="2600"/>
          </w:tcPr>
          <w:p>
            <w:r>
              <w:rPr>
                <w:b w:val="false"/>
                <w:bCs w:val="false"/>
                <w:sz w:val="18"/>
                <w:szCs w:val="18"/>
              </w:rPr>
              <w:t xml:space="preserve">Six-product-line capacity expansion (KOH, liquid chlorine, methylene chloride and others)</w:t>
            </w:r>
          </w:p>
        </w:tc>
        <w:tc>
          <w:tcPr>
            <w:tcW w:type="dxa" w:w="2400"/>
          </w:tcPr>
          <w:p>
            <w:r>
              <w:rPr>
                <w:b w:val="false"/>
                <w:bCs w:val="false"/>
                <w:sz w:val="18"/>
                <w:szCs w:val="18"/>
              </w:rPr>
              <w:t xml:space="preserve">KOH +27,150 TPA, Liquid Chlorine +17,160 TPA, Methylene Chloride +17,817 TPA, effective April 2026</w:t>
            </w:r>
          </w:p>
        </w:tc>
        <w:tc>
          <w:tcPr>
            <w:tcW w:type="dxa" w:w="900"/>
          </w:tcPr>
          <w:p>
            <w:r>
              <w:rPr>
                <w:b w:val="false"/>
                <w:bCs w:val="false"/>
                <w:sz w:val="18"/>
                <w:szCs w:val="18"/>
              </w:rPr>
              <w:t xml:space="preserve">6M</w:t>
            </w:r>
          </w:p>
        </w:tc>
        <w:tc>
          <w:tcPr>
            <w:tcW w:type="dxa" w:w="1200"/>
          </w:tcPr>
          <w:p>
            <w:r>
              <w:rPr>
                <w:b w:val="false"/>
                <w:bCs w:val="false"/>
                <w:sz w:val="18"/>
                <w:szCs w:val="18"/>
              </w:rPr>
              <w:t xml:space="preserve">operational</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capex</w:t>
            </w:r>
          </w:p>
        </w:tc>
        <w:tc>
          <w:tcPr>
            <w:tcW w:type="dxa" w:w="2600"/>
          </w:tcPr>
          <w:p>
            <w:r>
              <w:rPr>
                <w:b w:val="false"/>
                <w:bCs w:val="false"/>
                <w:sz w:val="18"/>
                <w:szCs w:val="18"/>
              </w:rPr>
              <w:t xml:space="preserve">Ongoing captive-solar capacity build-out to cut power costs</w:t>
            </w:r>
          </w:p>
        </w:tc>
        <w:tc>
          <w:tcPr>
            <w:tcW w:type="dxa" w:w="2400"/>
          </w:tcPr>
          <w:p>
            <w:r>
              <w:rPr>
                <w:b w:val="false"/>
                <w:bCs w:val="false"/>
                <w:sz w:val="18"/>
                <w:szCs w:val="18"/>
              </w:rPr>
              <w:t xml:space="preserve">55.40 MWp (Mar 2026) -&gt; 57.90 -&gt; 60.40 -&gt; 62.90 MWp via repeated 2.5 MWp additions through 2026</w:t>
            </w:r>
          </w:p>
        </w:tc>
        <w:tc>
          <w:tcPr>
            <w:tcW w:type="dxa" w:w="900"/>
          </w:tcPr>
          <w:p>
            <w:r>
              <w:rPr>
                <w:b w:val="false"/>
                <w:bCs w:val="false"/>
                <w:sz w:val="18"/>
                <w:szCs w:val="18"/>
              </w:rPr>
              <w:t xml:space="preserve">12M</w:t>
            </w:r>
          </w:p>
        </w:tc>
        <w:tc>
          <w:tcPr>
            <w:tcW w:type="dxa" w:w="1200"/>
          </w:tcPr>
          <w:p>
            <w:r>
              <w:rPr>
                <w:b w:val="false"/>
                <w:bCs w:val="false"/>
                <w:sz w:val="18"/>
                <w:szCs w:val="18"/>
              </w:rPr>
              <w:t xml:space="preserve">operational</w:t>
            </w:r>
          </w:p>
        </w:tc>
        <w:tc>
          <w:tcPr>
            <w:tcW w:type="dxa" w:w="800"/>
          </w:tcPr>
          <w:p>
            <w:r>
              <w:rPr>
                <w:b w:val="false"/>
                <w:bCs w:val="false"/>
                <w:sz w:val="18"/>
                <w:szCs w:val="18"/>
              </w:rPr>
              <w:t xml:space="preserve">yes</w:t>
            </w:r>
          </w:p>
        </w:tc>
      </w:tr>
    </w:tbl>
    <w:p>
      <w:pPr>
        <w:spacing w:after="60" w:before="120"/>
      </w:pPr>
      <w:r>
        <w:rPr>
          <w:b/>
          <w:bCs/>
          <w:sz w:val="20"/>
          <w:szCs w:val="20"/>
        </w:rPr>
        <w:t xml:space="preserve">Earnings chain: </w:t>
      </w:r>
      <w:r>
        <w:rPr>
          <w:b w:val="false"/>
          <w:bCs w:val="false"/>
          <w:sz w:val="20"/>
          <w:szCs w:val="20"/>
        </w:rPr>
        <w:t xml:space="preserve">captive solar power-cost reduction</w:t>
      </w:r>
      <w:r>
        <w:rPr>
          <w:color w:val="666666"/>
          <w:sz w:val="20"/>
          <w:szCs w:val="20"/>
        </w:rPr>
        <w:t xml:space="preserve"> → </w:t>
      </w:r>
      <w:r>
        <w:rPr>
          <w:b w:val="false"/>
          <w:bCs w:val="false"/>
          <w:sz w:val="20"/>
          <w:szCs w:val="20"/>
        </w:rPr>
        <w:t xml:space="preserve">chlorine forward-integration into derivatives (avoids negative chlorine realizations)</w:t>
      </w:r>
      <w:r>
        <w:rPr>
          <w:color w:val="666666"/>
          <w:sz w:val="20"/>
          <w:szCs w:val="20"/>
        </w:rPr>
        <w:t xml:space="preserve"> → </w:t>
      </w:r>
      <w:r>
        <w:rPr>
          <w:b w:val="false"/>
          <w:bCs w:val="false"/>
          <w:sz w:val="20"/>
          <w:szCs w:val="20"/>
        </w:rPr>
        <w:t xml:space="preserve">caustic/chlorine ECU realizations (cyclical, China/Europe supply driven)</w:t>
      </w:r>
      <w:r>
        <w:rPr>
          <w:color w:val="666666"/>
          <w:sz w:val="20"/>
          <w:szCs w:val="20"/>
        </w:rPr>
        <w:t xml:space="preserve"> → </w:t>
      </w:r>
      <w:r>
        <w:rPr>
          <w:b w:val="false"/>
          <w:bCs w:val="false"/>
          <w:sz w:val="20"/>
          <w:szCs w:val="20"/>
        </w:rPr>
        <w:t xml:space="preserve">OPM</w:t>
      </w:r>
      <w:r>
        <w:rPr>
          <w:color w:val="666666"/>
          <w:sz w:val="20"/>
          <w:szCs w:val="20"/>
        </w:rPr>
        <w:t xml:space="preserve"> → </w:t>
      </w:r>
      <w:r>
        <w:rPr>
          <w:b w:val="false"/>
          <w:bCs w:val="false"/>
          <w:sz w:val="20"/>
          <w:szCs w:val="20"/>
        </w:rPr>
        <w:t xml:space="preserve">PAT</w:t>
      </w:r>
    </w:p>
    <w:p>
      <w:pPr>
        <w:spacing w:after="120"/>
      </w:pPr>
      <w:r>
        <w:rPr>
          <w:color w:val="666666"/>
          <w:sz w:val="18"/>
          <w:szCs w:val="18"/>
        </w:rPr>
        <w:t xml:space="preserve">Bottleneck link: caustic/chlorine ECU realizations.</w:t>
      </w:r>
    </w:p>
    <w:p>
      <w:pPr>
        <w:spacing w:after="120"/>
      </w:pPr>
      <w:r>
        <w:rPr>
          <w:color w:val="666666"/>
          <w:sz w:val="18"/>
          <w:szCs w:val="18"/>
        </w:rPr>
        <w:t xml:space="preserve">Operating leverage: yes - solar cost cuts and forward integration add margin, but the dominant swing factor is still the cyclical caustic/chlorine price, which Q4FY26 shows is already decelerating</w:t>
      </w:r>
    </w:p>
    <w:p>
      <w:pPr>
        <w:spacing w:after="120"/>
      </w:pPr>
      <w:r>
        <w:rPr>
          <w:color w:val="666666"/>
          <w:sz w:val="18"/>
          <w:szCs w:val="18"/>
        </w:rPr>
        <w:t xml:space="preserve">Evidenced: captive solar power-cost reduction; chlorine forward-integration into derivatives. Still assumed: caustic/chlorine ECU realizations holding up; OPM sustaining at 16-18%.</w:t>
      </w:r>
    </w:p>
    <w:p>
      <w:pPr>
        <w:spacing w:after="120"/>
      </w:pPr>
      <w:r>
        <w:rPr>
          <w:b/>
          <w:bCs/>
          <w:sz w:val="20"/>
          <w:szCs w:val="20"/>
        </w:rPr>
        <w:t xml:space="preserve">Market expectation vs. our path: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 of</w:t>
            </w:r>
          </w:p>
        </w:tc>
        <w:tc>
          <w:tcPr>
            <w:tcW w:type="dxa" w:w="5800"/>
          </w:tcPr>
          <w:p>
            <w:r>
              <w:t xml:space="preserve">2026-09-18</w:t>
            </w:r>
          </w:p>
        </w:tc>
      </w:tr>
      <w:tr>
        <w:tc>
          <w:tcPr>
            <w:tcW w:type="dxa" w:w="3200"/>
            <w:shd w:fill="F2F2F2" w:val="clear"/>
          </w:tcPr>
          <w:p>
            <w:r>
              <w:rPr>
                <w:b/>
                <w:bCs/>
              </w:rPr>
              <w:t xml:space="preserve">Price / multiple</w:t>
            </w:r>
          </w:p>
        </w:tc>
        <w:tc>
          <w:tcPr>
            <w:tcW w:type="dxa" w:w="5800"/>
          </w:tcPr>
          <w:p>
            <w:r>
              <w:t xml:space="preserve">Rs 103 · 7.88x P/E</w:t>
            </w:r>
          </w:p>
        </w:tc>
      </w:tr>
      <w:tr>
        <w:tc>
          <w:tcPr>
            <w:tcW w:type="dxa" w:w="3200"/>
            <w:shd w:fill="F2F2F2" w:val="clear"/>
          </w:tcPr>
          <w:p>
            <w:r>
              <w:rPr>
                <w:b/>
                <w:bCs/>
              </w:rPr>
              <w:t xml:space="preserve">Right valuation lens</w:t>
            </w:r>
          </w:p>
        </w:tc>
        <w:tc>
          <w:tcPr>
            <w:tcW w:type="dxa" w:w="5800"/>
          </w:tcPr>
          <w:p>
            <w:r>
              <w:t xml:space="preserve">P/E</w:t>
            </w:r>
          </w:p>
        </w:tc>
      </w:tr>
      <w:tr>
        <w:tc>
          <w:tcPr>
            <w:tcW w:type="dxa" w:w="3200"/>
            <w:shd w:fill="F2F2F2" w:val="clear"/>
          </w:tcPr>
          <w:p>
            <w:r>
              <w:rPr>
                <w:b/>
                <w:bCs/>
              </w:rPr>
              <w:t xml:space="preserve">Price implies</w:t>
            </w:r>
          </w:p>
        </w:tc>
        <w:tc>
          <w:tcPr>
            <w:tcW w:type="dxa" w:w="5800"/>
          </w:tcPr>
          <w:p>
            <w:r>
              <w:t xml:space="preserve">at ~7.9x trailing P/E (0.85x book) the market prices mid-cycle normalisation / a flattening earnings path; roughly 0-5% EPS CAGR justifies today's multiple on an ~8-10x cyclical exit</w:t>
            </w:r>
          </w:p>
        </w:tc>
      </w:tr>
      <w:tr>
        <w:tc>
          <w:tcPr>
            <w:tcW w:type="dxa" w:w="3200"/>
            <w:shd w:fill="F2F2F2" w:val="clear"/>
          </w:tcPr>
          <w:p>
            <w:r>
              <w:rPr>
                <w:b/>
                <w:bCs/>
              </w:rPr>
              <w:t xml:space="preserve">Our FY27</w:t>
            </w:r>
          </w:p>
        </w:tc>
        <w:tc>
          <w:tcPr>
            <w:tcW w:type="dxa" w:w="5800"/>
          </w:tcPr>
          <w:p>
            <w:r>
              <w:t xml:space="preserve">revenue +8-12%, OPM likely plateauing in the mid-to-high-teens as solar cost savings partly offset the Q4FY26 cost-inflation signal, PAT growth decelerating from FY26's +53% toward the mid-teens</w:t>
            </w:r>
          </w:p>
        </w:tc>
      </w:tr>
      <w:tr>
        <w:tc>
          <w:tcPr>
            <w:tcW w:type="dxa" w:w="3200"/>
            <w:shd w:fill="F2F2F2" w:val="clear"/>
          </w:tcPr>
          <w:p>
            <w:r>
              <w:rPr>
                <w:b/>
                <w:bCs/>
              </w:rPr>
              <w:t xml:space="preserve">Our FY28</w:t>
            </w:r>
          </w:p>
        </w:tc>
        <w:tc>
          <w:tcPr>
            <w:tcW w:type="dxa" w:w="5800"/>
          </w:tcPr>
          <w:p>
            <w:r>
              <w:t xml:space="preserve">flat-to-down risk as Reliance/Adani caustic capacity (notably Adani's confirmed 2,200 TPD Mundra project) lands 2027-28</w:t>
            </w:r>
          </w:p>
        </w:tc>
      </w:tr>
      <w:tr>
        <w:tc>
          <w:tcPr>
            <w:tcW w:type="dxa" w:w="3200"/>
            <w:shd w:fill="F2F2F2" w:val="clear"/>
          </w:tcPr>
          <w:p>
            <w:r>
              <w:rPr>
                <w:b/>
                <w:bCs/>
              </w:rPr>
              <w:t xml:space="preserve">Gap direction</w:t>
            </w:r>
          </w:p>
        </w:tc>
        <w:tc>
          <w:tcPr>
            <w:tcW w:type="dxa" w:w="5800"/>
          </w:tcPr>
          <w:p>
            <w:r>
              <w:t xml:space="preserve">partially-priced</w:t>
            </w:r>
          </w:p>
        </w:tc>
      </w:tr>
      <w:tr>
        <w:tc>
          <w:tcPr>
            <w:tcW w:type="dxa" w:w="3200"/>
            <w:shd w:fill="F2F2F2" w:val="clear"/>
          </w:tcPr>
          <w:p>
            <w:r>
              <w:rPr>
                <w:b/>
                <w:bCs/>
              </w:rPr>
              <w:t xml:space="preserve">Gap type</w:t>
            </w:r>
          </w:p>
        </w:tc>
        <w:tc>
          <w:tcPr>
            <w:tcW w:type="dxa" w:w="5800"/>
          </w:tcPr>
          <w:p>
            <w:r>
              <w:t xml:space="preserve">margin</w:t>
            </w:r>
          </w:p>
        </w:tc>
      </w:tr>
      <w:tr>
        <w:tc>
          <w:tcPr>
            <w:tcW w:type="dxa" w:w="3200"/>
            <w:shd w:fill="F2F2F2" w:val="clear"/>
          </w:tcPr>
          <w:p>
            <w:r>
              <w:rPr>
                <w:b/>
                <w:bCs/>
              </w:rPr>
              <w:t xml:space="preserve">Gap magnitude</w:t>
            </w:r>
          </w:p>
        </w:tc>
        <w:tc>
          <w:tcPr>
            <w:tcW w:type="dxa" w:w="5800"/>
          </w:tcPr>
          <w:p>
            <w:r>
              <w:t xml:space="preserve">not estimable</w:t>
            </w:r>
          </w:p>
        </w:tc>
      </w:tr>
      <w:tr>
        <w:tc>
          <w:tcPr>
            <w:tcW w:type="dxa" w:w="3200"/>
            <w:shd w:fill="F2F2F2" w:val="clear"/>
          </w:tcPr>
          <w:p>
            <w:r>
              <w:rPr>
                <w:b/>
                <w:bCs/>
              </w:rPr>
              <w:t xml:space="preserve">Gap basis</w:t>
            </w:r>
          </w:p>
        </w:tc>
        <w:tc>
          <w:tcPr>
            <w:tcW w:type="dxa" w:w="5800"/>
          </w:tcPr>
          <w:p>
            <w:r>
              <w:t xml:space="preserve">cheap on trailing earnings and book value with a real, executing solar-driven cost program; but Q4FY26's early margin deceleration plus the now well-corroborated 2027-28 domestic caustic oversupply (Reliance, Adani) and weak shareholder communication cap the re-rating - the market's caution looks roughly fair, not clearly wrong.</w:t>
            </w:r>
          </w:p>
        </w:tc>
      </w:tr>
      <w:tr>
        <w:tc>
          <w:tcPr>
            <w:tcW w:type="dxa" w:w="3200"/>
            <w:shd w:fill="F2F2F2" w:val="clear"/>
          </w:tcPr>
          <w:p>
            <w:r>
              <w:rPr>
                <w:b/>
                <w:bCs/>
              </w:rPr>
              <w:t xml:space="preserve">Evidence quality</w:t>
            </w:r>
          </w:p>
        </w:tc>
        <w:tc>
          <w:tcPr>
            <w:tcW w:type="dxa" w:w="5800"/>
          </w:tcPr>
          <w:p>
            <w:r>
              <w:t xml:space="preserve">moderate</w:t>
            </w:r>
          </w:p>
        </w:tc>
      </w:tr>
    </w:tbl>
    <w:p>
      <w:pPr>
        <w:spacing w:after="120"/>
      </w:pPr>
      <w:r>
        <w:rPr>
          <w:i/>
          <w:iCs/>
          <w:color w:val="666666"/>
          <w:sz w:val="16"/>
          <w:szCs w:val="16"/>
        </w:rPr>
        <w:t xml:space="preserve">no broker consensus; implied path is a reverse-P/E estimate + screener.in forward figures + VP thread view</w:t>
      </w:r>
    </w:p>
    <w:p>
      <w:pPr>
        <w:spacing w:after="120" w:before="120"/>
      </w:pPr>
      <w:r>
        <w:rPr>
          <w:b/>
          <w:bCs/>
          <w:sz w:val="20"/>
          <w:szCs w:val="20"/>
        </w:rPr>
        <w:t xml:space="preserve">Catalyst: </w:t>
      </w:r>
      <w:r>
        <w:rPr>
          <w:sz w:val="20"/>
          <w:szCs w:val="20"/>
        </w:rPr>
        <w:t xml:space="preserve">Q2/Q3 FY27 margin print showing whether solar cost savings and forward integration offset the Q4FY26 cost-inflation signal ahead of Reliance/Adani capacity landing</w:t>
      </w:r>
      <w:r>
        <w:rPr>
          <w:color w:val="666666"/>
          <w:sz w:val="18"/>
          <w:szCs w:val="18"/>
        </w:rPr>
        <w:t xml:space="preserve"> (window ~6M from 2026-09-18; undated; evidence med; pending)</w:t>
      </w:r>
    </w:p>
    <w:p>
      <w:pPr>
        <w:pStyle w:val="Heading1"/>
        <w:spacing w:after="120" w:before="280"/>
      </w:pPr>
      <w:r>
        <w:t xml:space="preserve">Ishmohit-Lens Checks (value chain · earnings quality · growth trajectory · management · quality metrics · track record · global-signal check)</w:t>
      </w:r>
    </w:p>
    <w:p>
      <w:pPr>
        <w:spacing w:after="120"/>
      </w:pPr>
      <w:r>
        <w:rPr>
          <w:i/>
          <w:iCs/>
          <w:color w:val="666666"/>
          <w:sz w:val="18"/>
          <w:szCs w:val="18"/>
        </w:rPr>
        <w:t xml:space="preserve">Extra checks drawn from @ishmohit1 / SOIC methodology (playbook/ishmohit-soic-style.md): where the company sits in its value chain and what the supply side is doing, whether a margin/PAT inflection is structural or a cyclical peak, the rate-of-change of growth vs. what the multiple demands, and management quality as a positive attribute.</w:t>
      </w:r>
    </w:p>
    <w:p>
      <w:pPr>
        <w:spacing w:after="120"/>
      </w:pPr>
      <w:r>
        <w:rPr>
          <w:b/>
          <w:bCs/>
          <w:sz w:val="20"/>
          <w:szCs w:val="20"/>
        </w:rPr>
        <w:t xml:space="preserve">Value chain &amp; supply side: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Theme</w:t>
            </w:r>
          </w:p>
        </w:tc>
        <w:tc>
          <w:tcPr>
            <w:tcW w:type="dxa" w:w="5800"/>
          </w:tcPr>
          <w:p>
            <w:r>
              <w:t xml:space="preserve">chlor-alkali (caustic soda / chlorine derivatives)</w:t>
            </w:r>
          </w:p>
        </w:tc>
      </w:tr>
      <w:tr>
        <w:tc>
          <w:tcPr>
            <w:tcW w:type="dxa" w:w="3200"/>
            <w:shd w:fill="F2F2F2" w:val="clear"/>
          </w:tcPr>
          <w:p>
            <w:r>
              <w:rPr>
                <w:b/>
                <w:bCs/>
              </w:rPr>
              <w:t xml:space="preserve">This company's position</w:t>
            </w:r>
          </w:p>
        </w:tc>
        <w:tc>
          <w:tcPr>
            <w:tcW w:type="dxa" w:w="5800"/>
          </w:tcPr>
          <w:p>
            <w:r>
              <w:t xml:space="preserve">forward-integrated regional caustic-soda and chlorine-derivatives producer</w:t>
            </w:r>
          </w:p>
        </w:tc>
      </w:tr>
      <w:tr>
        <w:tc>
          <w:tcPr>
            <w:tcW w:type="dxa" w:w="3200"/>
            <w:shd w:fill="F2F2F2" w:val="clear"/>
          </w:tcPr>
          <w:p>
            <w:r>
              <w:rPr>
                <w:b/>
                <w:bCs/>
              </w:rPr>
              <w:t xml:space="preserve">Bottleneck node (pricing power)</w:t>
            </w:r>
          </w:p>
        </w:tc>
        <w:tc>
          <w:tcPr>
            <w:tcW w:type="dxa" w:w="5800"/>
          </w:tcPr>
          <w:p>
            <w:r>
              <w:t xml:space="preserve">power cost (mitigated by captive solar) and chlorine disposal/realization (mitigated by downstream integration)</w:t>
            </w:r>
          </w:p>
        </w:tc>
      </w:tr>
      <w:tr>
        <w:tc>
          <w:tcPr>
            <w:tcW w:type="dxa" w:w="3200"/>
            <w:shd w:fill="F2F2F2" w:val="clear"/>
          </w:tcPr>
          <w:p>
            <w:r>
              <w:rPr>
                <w:b/>
                <w:bCs/>
              </w:rPr>
              <w:t xml:space="preserve">Supply-side status</w:t>
            </w:r>
          </w:p>
        </w:tc>
        <w:tc>
          <w:tcPr>
            <w:tcW w:type="dxa" w:w="5800"/>
          </w:tcPr>
          <w:p>
            <w:r>
              <w:t xml:space="preserve">adding</w:t>
            </w:r>
          </w:p>
        </w:tc>
      </w:tr>
      <w:tr>
        <w:tc>
          <w:tcPr>
            <w:tcW w:type="dxa" w:w="3200"/>
            <w:shd w:fill="F2F2F2" w:val="clear"/>
          </w:tcPr>
          <w:p>
            <w:r>
              <w:rPr>
                <w:b/>
                <w:bCs/>
              </w:rPr>
              <w:t xml:space="preserve">Adjacent-node peers</w:t>
            </w:r>
          </w:p>
        </w:tc>
        <w:tc>
          <w:tcPr>
            <w:tcW w:type="dxa" w:w="5800"/>
          </w:tcPr>
          <w:p>
            <w:r>
              <w:t xml:space="preserve">DCM Shriram, Gujarat Alkalies and Chemicals, Grasim Chemicals, Chemplast Sanmar</w:t>
            </w:r>
          </w:p>
        </w:tc>
      </w:tr>
    </w:tbl>
    <w:p>
      <w:pPr>
        <w:spacing w:after="120"/>
      </w:pPr>
      <w:r>
        <w:rPr>
          <w:color w:val="666666"/>
          <w:sz w:val="18"/>
          <w:szCs w:val="18"/>
        </w:rPr>
        <w:t xml:space="preserve">Industry supply_side_status is 'adding' - Adani's confirmed 2,200 TPD Mundra project (India's largest chlor-alkali project) plus Reliance capacity together could add ~8 million tonnes/year of salt-linked demand by 2027-28. This is a late-cycle glut risk for the whole industry despite TGV's own forward integration and cost position.</w:t>
      </w:r>
    </w:p>
    <w:p>
      <w:pPr>
        <w:spacing w:after="60" w:before="120"/>
      </w:pPr>
      <w:r>
        <w:rPr>
          <w:b/>
          <w:bCs/>
          <w:sz w:val="20"/>
          <w:szCs w:val="20"/>
        </w:rPr>
        <w:t xml:space="preserve">Earnings quality: </w:t>
      </w:r>
      <w:r>
        <w:rPr>
          <w:sz w:val="20"/>
          <w:szCs w:val="20"/>
        </w:rPr>
        <w:t xml:space="preserve">margin driver mixed</w:t>
      </w:r>
      <w:r>
        <w:rPr>
          <w:b/>
          <w:bCs/>
          <w:color w:val="A32020"/>
          <w:sz w:val="20"/>
          <w:szCs w:val="20"/>
        </w:rPr>
        <w:t xml:space="preserve">  — PEAK-MARGIN RISK: do not capitalise current margins</w:t>
      </w:r>
    </w:p>
    <w:p>
      <w:pPr>
        <w:spacing w:after="120"/>
      </w:pPr>
      <w:r>
        <w:rPr>
          <w:color w:val="666666"/>
          <w:sz w:val="18"/>
          <w:szCs w:val="18"/>
        </w:rPr>
        <w:t xml:space="preserve">Drivers: caustic/chlorine ECU realizations (cyclical, China anti-involution + European shutdowns currently supportive); captive solar power-cost reduction (structural, verified executing on schedule); chlorine forward-integration into chloromethanes/derivatives (structural offset to negative chlorine realizations hurting less-integrated peers).</w:t>
      </w:r>
    </w:p>
    <w:p>
      <w:pPr>
        <w:spacing w:after="120"/>
      </w:pPr>
      <w:r>
        <w:rPr>
          <w:color w:val="666666"/>
          <w:sz w:val="18"/>
          <w:szCs w:val="18"/>
        </w:rPr>
        <w:t xml:space="preserve">FY24 OPM cratered to 3.8% at the cycle trough; current 16-18% OPM is well above that and likely nearer a cycle peak than a through-cycle normal - Q4FY26 already showed a 72bp sequential compression before any of the new competing capacity has even landed.</w:t>
      </w:r>
    </w:p>
    <w:p>
      <w:pPr>
        <w:spacing w:after="60" w:before="120"/>
      </w:pPr>
      <w:r>
        <w:rPr>
          <w:b/>
          <w:bCs/>
          <w:sz w:val="20"/>
          <w:szCs w:val="20"/>
        </w:rPr>
        <w:t xml:space="preserve">Growth trajectory: </w:t>
      </w:r>
      <w:r>
        <w:rPr>
          <w:b/>
          <w:bCs/>
          <w:color w:val="A32020"/>
          <w:sz w:val="20"/>
          <w:szCs w:val="20"/>
        </w:rPr>
        <w:t xml:space="preserve">YoY growth rate is decelerating</w:t>
      </w:r>
    </w:p>
    <w:p>
      <w:pPr>
        <w:spacing w:after="120"/>
      </w:pPr>
      <w:r>
        <w:rPr>
          <w:color w:val="666666"/>
          <w:sz w:val="18"/>
          <w:szCs w:val="18"/>
        </w:rPr>
        <w:t xml:space="preserve">YoY PAT growth oldest-&gt;newest: Q1FY26 +182% (low base, one-off-adjusted), Q4FY26 +28.85%, Q1FY27 +17.2% - decelerating off a very high base, consistent with a maturing cycle rather than an accelerating one</w:t>
      </w:r>
    </w:p>
    <w:p>
      <w:pPr>
        <w:spacing w:after="120"/>
      </w:pPr>
      <w:r>
        <w:rPr>
          <w:color w:val="666666"/>
          <w:sz w:val="18"/>
          <w:szCs w:val="18"/>
        </w:rPr>
        <w:t xml:space="preserve">Reverse P/E: 7.9x trailing P/E needs only roughly flat-to-low-single-digit EPS growth to hold on an 8-10x cyclical exit; the recent deceleration from +182% to +17% YoY PAT growth is broadly consistent with (not clearly underestimated by) today's multiple</w:t>
      </w:r>
    </w:p>
    <w:p>
      <w:pPr>
        <w:spacing w:after="120"/>
      </w:pPr>
      <w:r>
        <w:rPr>
          <w:b/>
          <w:bCs/>
          <w:sz w:val="20"/>
          <w:szCs w:val="20"/>
        </w:rPr>
        <w:t xml:space="preserve">Management quality (TVGP's "P"):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concern</w:t>
            </w:r>
          </w:p>
        </w:tc>
      </w:tr>
      <w:tr>
        <w:tc>
          <w:tcPr>
            <w:tcW w:type="dxa" w:w="3200"/>
            <w:shd w:fill="F2F2F2" w:val="clear"/>
          </w:tcPr>
          <w:p>
            <w:r>
              <w:rPr>
                <w:b/>
                <w:bCs/>
              </w:rPr>
              <w:t xml:space="preserve">Capital allocation</w:t>
            </w:r>
          </w:p>
        </w:tc>
        <w:tc>
          <w:tcPr>
            <w:tcW w:type="dxa" w:w="5800"/>
          </w:tcPr>
          <w:p>
            <w:r>
              <w:t xml:space="preserve">Continued reinvestment into captive solar (55.4-&gt;62.9 MWp through 2026) and forward-integration capacity (six product lines expanded April 2026) at a still-modest 13% ROCE / 7.26% 3-yr avg ROE; no unrelated diversification found (neutral)</w:t>
            </w:r>
          </w:p>
        </w:tc>
      </w:tr>
      <w:tr>
        <w:tc>
          <w:tcPr>
            <w:tcW w:type="dxa" w:w="3200"/>
            <w:shd w:fill="F2F2F2" w:val="clear"/>
          </w:tcPr>
          <w:p>
            <w:r>
              <w:rPr>
                <w:b/>
                <w:bCs/>
              </w:rPr>
              <w:t xml:space="preserve">Related-party trend</w:t>
            </w:r>
          </w:p>
        </w:tc>
        <w:tc>
          <w:tcPr>
            <w:tcW w:type="dxa" w:w="5800"/>
          </w:tcPr>
          <w:p>
            <w:r>
              <w:t xml:space="preserve">unclear</w:t>
            </w:r>
          </w:p>
        </w:tc>
      </w:tr>
      <w:tr>
        <w:tc>
          <w:tcPr>
            <w:tcW w:type="dxa" w:w="3200"/>
            <w:shd w:fill="F2F2F2" w:val="clear"/>
          </w:tcPr>
          <w:p>
            <w:r>
              <w:rPr>
                <w:b/>
                <w:bCs/>
              </w:rPr>
              <w:t xml:space="preserve">Guidance credibility</w:t>
            </w:r>
          </w:p>
        </w:tc>
        <w:tc>
          <w:tcPr>
            <w:tcW w:type="dxa" w:w="5800"/>
          </w:tcPr>
          <w:p>
            <w:r>
              <w:t xml:space="preserve">no-track-record</w:t>
            </w:r>
          </w:p>
        </w:tc>
      </w:tr>
      <w:tr>
        <w:tc>
          <w:tcPr>
            <w:tcW w:type="dxa" w:w="3200"/>
            <w:shd w:fill="F2F2F2" w:val="clear"/>
          </w:tcPr>
          <w:p>
            <w:r>
              <w:rPr>
                <w:b/>
                <w:bCs/>
              </w:rPr>
              <w:t xml:space="preserve">Shareholder returns</w:t>
            </w:r>
          </w:p>
        </w:tc>
        <w:tc>
          <w:tcPr>
            <w:tcW w:type="dxa" w:w="5800"/>
          </w:tcPr>
          <w:p>
            <w:r>
              <w:t xml:space="preserve">erratic</w:t>
            </w:r>
          </w:p>
        </w:tc>
      </w:tr>
      <w:tr>
        <w:tc>
          <w:tcPr>
            <w:tcW w:type="dxa" w:w="3200"/>
            <w:shd w:fill="F2F2F2" w:val="clear"/>
          </w:tcPr>
          <w:p>
            <w:r>
              <w:rPr>
                <w:b/>
                <w:bCs/>
              </w:rPr>
              <w:t xml:space="preserve">Capability ladder / VAP</w:t>
            </w:r>
          </w:p>
        </w:tc>
        <w:tc>
          <w:tcPr>
            <w:tcW w:type="dxa" w:w="5800"/>
          </w:tcPr>
          <w:p>
            <w:r>
              <w:t xml:space="preserve">Explicit strategy of forward-integrating chlorine into chloromethanes/downstream derivatives to move up the value chain and reduce pure commodity-caustic exposure.</w:t>
            </w:r>
          </w:p>
        </w:tc>
      </w:tr>
    </w:tbl>
    <w:p>
      <w:pPr>
        <w:spacing w:after="120"/>
      </w:pPr>
      <w:r>
        <w:rPr>
          <w:b/>
          <w:bCs/>
          <w:sz w:val="20"/>
          <w:szCs w:val="20"/>
        </w:rPr>
        <w:t xml:space="preserve">Quality metrics (ROCE · debt · FCF · margin · capex):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neutral</w:t>
            </w:r>
          </w:p>
        </w:tc>
      </w:tr>
      <w:tr>
        <w:tc>
          <w:tcPr>
            <w:tcW w:type="dxa" w:w="3200"/>
            <w:shd w:fill="F2F2F2" w:val="clear"/>
          </w:tcPr>
          <w:p>
            <w:r>
              <w:rPr>
                <w:b/>
                <w:bCs/>
              </w:rPr>
              <w:t xml:space="preserve">ROCE</w:t>
            </w:r>
          </w:p>
        </w:tc>
        <w:tc>
          <w:tcPr>
            <w:tcW w:type="dxa" w:w="5800"/>
          </w:tcPr>
          <w:p>
            <w:r>
              <w:t xml:space="preserve">13% (improving)</w:t>
            </w:r>
          </w:p>
        </w:tc>
      </w:tr>
      <w:tr>
        <w:tc>
          <w:tcPr>
            <w:tcW w:type="dxa" w:w="3200"/>
            <w:shd w:fill="F2F2F2" w:val="clear"/>
          </w:tcPr>
          <w:p>
            <w:r>
              <w:rPr>
                <w:b/>
                <w:bCs/>
              </w:rPr>
              <w:t xml:space="preserve">Leverage</w:t>
            </w:r>
          </w:p>
        </w:tc>
        <w:tc>
          <w:tcPr>
            <w:tcW w:type="dxa" w:w="5800"/>
          </w:tcPr>
          <w:p>
            <w:r>
              <w:t xml:space="preserve">Net debt/EBITDA 1.1x</w:t>
            </w:r>
          </w:p>
        </w:tc>
      </w:tr>
      <w:tr>
        <w:tc>
          <w:tcPr>
            <w:tcW w:type="dxa" w:w="3200"/>
            <w:shd w:fill="F2F2F2" w:val="clear"/>
          </w:tcPr>
          <w:p>
            <w:r>
              <w:rPr>
                <w:b/>
                <w:bCs/>
              </w:rPr>
              <w:t xml:space="preserve">FCF conversion</w:t>
            </w:r>
          </w:p>
        </w:tc>
        <w:tc>
          <w:tcPr>
            <w:tcW w:type="dxa" w:w="5800"/>
          </w:tcPr>
          <w:p>
            <w:r>
              <w:t xml:space="preserve">-1%</w:t>
            </w:r>
          </w:p>
        </w:tc>
      </w:tr>
      <w:tr>
        <w:tc>
          <w:tcPr>
            <w:tcW w:type="dxa" w:w="3200"/>
            <w:shd w:fill="F2F2F2" w:val="clear"/>
          </w:tcPr>
          <w:p>
            <w:r>
              <w:rPr>
                <w:b/>
                <w:bCs/>
              </w:rPr>
              <w:t xml:space="preserve">Margin trend</w:t>
            </w:r>
          </w:p>
        </w:tc>
        <w:tc>
          <w:tcPr>
            <w:tcW w:type="dxa" w:w="5800"/>
          </w:tcPr>
          <w:p>
            <w:r>
              <w:t xml:space="preserve">expanding</w:t>
            </w:r>
          </w:p>
        </w:tc>
      </w:tr>
      <w:tr>
        <w:tc>
          <w:tcPr>
            <w:tcW w:type="dxa" w:w="3200"/>
            <w:shd w:fill="F2F2F2" w:val="clear"/>
          </w:tcPr>
          <w:p>
            <w:r>
              <w:rPr>
                <w:b/>
                <w:bCs/>
              </w:rPr>
              <w:t xml:space="preserve">Capex efficiency</w:t>
            </w:r>
          </w:p>
        </w:tc>
        <w:tc>
          <w:tcPr>
            <w:tcW w:type="dxa" w:w="5800"/>
          </w:tcPr>
          <w:p>
            <w:r>
              <w:t xml:space="preserve">neutral</w:t>
            </w:r>
          </w:p>
        </w:tc>
      </w:tr>
    </w:tbl>
    <w:p>
      <w:pPr>
        <w:spacing w:after="60" w:before="120"/>
      </w:pPr>
      <w:r>
        <w:rPr>
          <w:b/>
          <w:bCs/>
          <w:sz w:val="20"/>
          <w:szCs w:val="20"/>
        </w:rPr>
        <w:t xml:space="preserve">Track record (Coffee Can persistence check): </w:t>
      </w:r>
      <w:r>
        <w:rPr>
          <w:sz w:val="20"/>
          <w:szCs w:val="20"/>
        </w:rPr>
        <w:t xml:space="preserve">cleared revenue growth ≥10% AND ROCE ≥15% in 3 of the last 9 years (consistency_score 33)</w:t>
      </w:r>
    </w:p>
    <w:p>
      <w:pPr>
        <w:spacing w:after="120"/>
      </w:pPr>
      <w:r>
        <w:rPr>
          <w:color w:val="666666"/>
          <w:sz w:val="18"/>
          <w:szCs w:val="18"/>
        </w:rPr>
        <w:t xml:space="preserve">Screener FY18-FY26: rev growth &gt;=10% AND ROCE &gt;=15% both cleared in only 3 of 9 (FY19 15%/22%, FY22 51%/21%, FY23 53%/38%) - the caustic up-cycle years. FY24 collapsed (-34% sales, 5% ROCE); FY25-26 recovered on revenue but ROCE stuck at 10-13%. Cyclical commodity chemical.</w:t>
      </w:r>
    </w:p>
    <w:p>
      <w:pPr>
        <w:pStyle w:val="Heading1"/>
        <w:spacing w:after="120" w:before="280"/>
      </w:pPr>
      <w:r>
        <w:t xml:space="preserve">Fundamentals-Gap Checks (shareholding · working capital · sector KPIs · scenario analysis)</w:t>
      </w:r>
    </w:p>
    <w:p>
      <w:pPr>
        <w:spacing w:after="120"/>
      </w:pPr>
      <w:r>
        <w:rPr>
          <w:i/>
          <w:iCs/>
          <w:color w:val="666666"/>
          <w:sz w:val="18"/>
          <w:szCs w:val="18"/>
        </w:rPr>
        <w:t xml:space="preserve">Extra fundamentals extracted from the same filings — informational only, not yet consumed by any scoring script.</w:t>
      </w:r>
    </w:p>
    <w:p>
      <w:pPr>
        <w:spacing w:after="120"/>
      </w:pPr>
      <w:r>
        <w:rPr>
          <w:b/>
          <w:bCs/>
          <w:sz w:val="20"/>
          <w:szCs w:val="20"/>
        </w:rPr>
        <w:t xml:space="preserve">Shareholding pattern: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Promoter %</w:t>
            </w:r>
          </w:p>
        </w:tc>
        <w:tc>
          <w:tcPr>
            <w:tcW w:type="dxa" w:w="5800"/>
          </w:tcPr>
          <w:p>
            <w:r>
              <w:t xml:space="preserve">64.27% (rising)</w:t>
            </w:r>
          </w:p>
        </w:tc>
      </w:tr>
      <w:tr>
        <w:tc>
          <w:tcPr>
            <w:tcW w:type="dxa" w:w="3200"/>
            <w:shd w:fill="F2F2F2" w:val="clear"/>
          </w:tcPr>
          <w:p>
            <w:r>
              <w:rPr>
                <w:b/>
                <w:bCs/>
              </w:rPr>
              <w:t xml:space="preserve">Pledge %</w:t>
            </w:r>
          </w:p>
        </w:tc>
        <w:tc>
          <w:tcPr>
            <w:tcW w:type="dxa" w:w="5800"/>
          </w:tcPr>
          <w:p>
            <w:r>
              <w:t xml:space="preserve">0% (stable)</w:t>
            </w:r>
          </w:p>
        </w:tc>
      </w:tr>
      <w:tr>
        <w:tc>
          <w:tcPr>
            <w:tcW w:type="dxa" w:w="3200"/>
            <w:shd w:fill="F2F2F2" w:val="clear"/>
          </w:tcPr>
          <w:p>
            <w:r>
              <w:rPr>
                <w:b/>
                <w:bCs/>
              </w:rPr>
              <w:t xml:space="preserve">FII/DII %</w:t>
            </w:r>
          </w:p>
        </w:tc>
        <w:tc>
          <w:tcPr>
            <w:tcW w:type="dxa" w:w="5800"/>
          </w:tcPr>
          <w:p>
            <w:r>
              <w:t xml:space="preserve">0.17% (unclear)</w:t>
            </w:r>
          </w:p>
        </w:tc>
      </w:tr>
      <w:tr>
        <w:tc>
          <w:tcPr>
            <w:tcW w:type="dxa" w:w="3200"/>
            <w:shd w:fill="F2F2F2" w:val="clear"/>
          </w:tcPr>
          <w:p>
            <w:r>
              <w:rPr>
                <w:b/>
                <w:bCs/>
              </w:rPr>
              <w:t xml:space="preserve">Quarters checked</w:t>
            </w:r>
          </w:p>
        </w:tc>
        <w:tc>
          <w:tcPr>
            <w:tcW w:type="dxa" w:w="5800"/>
          </w:tcPr>
          <w:p>
            <w:r>
              <w:t xml:space="preserve">2023 (63.18%), Jun 2026 (64.27%)</w:t>
            </w:r>
          </w:p>
        </w:tc>
      </w:tr>
    </w:tbl>
    <w:p>
      <w:pPr>
        <w:spacing w:after="120"/>
      </w:pPr>
      <w:r>
        <w:rPr>
          <w:color w:val="666666"/>
          <w:sz w:val="18"/>
          <w:szCs w:val="18"/>
        </w:rPr>
        <w:t xml:space="preserve">Promoter holding has crept up slowly (63.18% in 2023 to 64.27% Jun 2026) with zero pledge throughout - a clean, mildly positive signal, though granular quarter-by-quarter disclosure wasn't available this pass beyond the two data points.</w:t>
      </w:r>
    </w:p>
    <w:p>
      <w:pPr>
        <w:spacing w:after="120"/>
      </w:pPr>
      <w:r>
        <w:rPr>
          <w:b/>
          <w:bCs/>
          <w:sz w:val="20"/>
          <w:szCs w:val="20"/>
        </w:rPr>
        <w:t xml:space="preserve">Sector KPIs:</w:t>
      </w:r>
    </w:p>
    <w:p>
      <w:pPr>
        <w:pStyle w:val="ListParagraph"/>
        <w:numPr>
          <w:ilvl w:val="0"/>
          <w:numId w:val="1"/>
        </w:numPr>
        <w:spacing w:after="60"/>
      </w:pPr>
      <w:r>
        <w:t xml:space="preserve">Captive solar power capacity: 62.90 MWp (Sep 2026), up from 55.40 MWp (Mar 2026) (improving) — Structural reduction of the largest input cost in caustic production; verified executing via repeated 2026 BSE filings</w:t>
      </w:r>
    </w:p>
    <w:p>
      <w:pPr>
        <w:pStyle w:val="ListParagraph"/>
        <w:numPr>
          <w:ilvl w:val="0"/>
          <w:numId w:val="1"/>
        </w:numPr>
        <w:spacing w:after="60"/>
      </w:pPr>
      <w:r>
        <w:t xml:space="preserve">India caustic soda price (regional realisation proxy): ~$202/MT (Jul 2026), up from ~$153/MT (Apr 2026), +19% (improving) — Domestic demand-led price recovery (alumina, soaps/detergents, textiles) independent of China/Europe tailwind</w:t>
      </w:r>
    </w:p>
    <w:p>
      <w:pPr>
        <w:pStyle w:val="ListParagraph"/>
        <w:numPr>
          <w:ilvl w:val="0"/>
          <w:numId w:val="1"/>
        </w:numPr>
        <w:spacing w:after="60"/>
      </w:pPr>
      <w:r>
        <w:t xml:space="preserve">Operating margin (OPM): 16.56% (Q4 FY26), down 72bps QoQ (declining) — First sequential compression signal ahead of new competing capacity landing</w:t>
      </w:r>
    </w:p>
    <w:p>
      <w:pPr>
        <w:pStyle w:val="Heading1"/>
        <w:spacing w:after="120" w:before="280"/>
      </w:pPr>
      <w:r>
        <w:t xml:space="preserve">Technical Read (Weekly / Monthly MACD + Bollinger Bands, or RSI/CCI/Williams %R proxy)</w:t>
      </w:r>
    </w:p>
    <w:p>
      <w:pPr>
        <w:spacing w:after="120"/>
      </w:pPr>
      <w:r>
        <w:t xml:space="preserve">Not independently pulled this pass.</w:t>
      </w:r>
    </w:p>
    <w:p>
      <w:pPr>
        <w:pStyle w:val="Heading1"/>
        <w:spacing w:after="120" w:before="280"/>
      </w:pPr>
      <w:r>
        <w:t xml:space="preserve">ValuePickr Community Signal</w:t>
      </w:r>
    </w:p>
    <w:p>
      <w:pPr>
        <w:spacing w:after="120"/>
      </w:pPr>
      <w:r>
        <w:t xml:space="preserve">Read the most recent 50 of 165 fetched posts (2024-11 to 2026-08), single batch. Sentiment is consistently constructive on the operating story: heavy forward integration into chlorine derivatives insulates the company from industry-wide negative chlorine realizations (a headwind DCM Shriram and others explicitly flagged in their own concalls), aggressive captive-solar capacity additions are structurally lowering power costs (the largest input cost in caustic production), and China anti-involution measures plus European capacity shutdowns (Ineos Inovyn, Dow) are seen as multi-year caustic-price tailwinds. The recurring negative theme across the whole period is management's poor shareholder communication — no press releases, minimal concalls, low dividends despite strong profitability, and a pattern of pre-emptive write-offs from ongoing APERC (state electricity regulator) power-cost litigation.</w:t>
      </w:r>
    </w:p>
    <w:p>
      <w:pPr>
        <w:spacing w:after="120"/>
      </w:pPr>
      <w:r>
        <w:rPr>
          <w:b/>
          <w:bCs/>
          <w:sz w:val="20"/>
          <w:szCs w:val="20"/>
        </w:rPr>
        <w:t xml:space="preserve">High-conviction call from a top contributor: </w:t>
      </w:r>
      <w:r>
        <w:rPr>
          <w:sz w:val="20"/>
          <w:szCs w:val="20"/>
        </w:rPr>
        <w:t xml:space="preserve">Phaeton was the most technically detailed and consistently engaged poster across the thread (not on the trusted roster but highly substantive), tracking ECU (caustic+chlorine) realizations, capacity additions, and APERC litigation write-offs in granular detail. Trusted user Prabhat_Mohanty repeatedly argued the stock is 'damn cheap from whatever angle' given replacement-cost economics, capacity build-up, and improving low-cost power position, but explicitly attributed the persistent undervaluation to 'promoters' total disdain for retail investors' rather than any operational weakness.</w:t>
      </w:r>
    </w:p>
    <w:p>
      <w:pPr>
        <w:pStyle w:val="Heading1"/>
        <w:spacing w:after="120" w:before="280"/>
      </w:pPr>
      <w:r>
        <w:t xml:space="preserve">Trusted-User Signals (Ongoing)</w:t>
      </w:r>
    </w:p>
    <w:p>
      <w:pPr>
        <w:spacing w:after="120"/>
      </w:pPr>
      <w:r>
        <w:rPr>
          <w:i/>
          <w:iCs/>
          <w:color w:val="666666"/>
          <w:sz w:val="18"/>
          <w:szCs w:val="18"/>
        </w:rPr>
        <w:t xml:space="preserve">Every time a trusted user expresses clear conviction on this stock, most recent first — this section accumulates over time, it isn't a one-time snapshot.</w:t>
      </w:r>
    </w:p>
    <w:p>
      <w:pPr>
        <w:spacing w:after="100"/>
      </w:pPr>
      <w:r>
        <w:rPr>
          <w:b/>
          <w:bCs/>
          <w:sz w:val="20"/>
          <w:szCs w:val="20"/>
        </w:rPr>
        <w:t xml:space="preserve">2026-08-16 — Prabhat_Mohanty</w:t>
      </w:r>
      <w:r>
        <w:rPr>
          <w:i/>
          <w:iCs/>
          <w:color w:val="666666"/>
          <w:sz w:val="18"/>
          <w:szCs w:val="18"/>
        </w:rPr>
        <w:t xml:space="preserve"> (TGV SRAAC)</w:t>
      </w:r>
      <w:r>
        <w:rPr>
          <w:sz w:val="20"/>
          <w:szCs w:val="20"/>
        </w:rPr>
        <w:br/>
        <w:t xml:space="preserve">: Reiterated conviction that the stock is cheap 'from whatever angle' (management capability, capacity, integrity, financial ratios) but flagged that better shareholder communication (concalls, dividends) would be needed for the market to properly re-rate it.</w:t>
      </w:r>
    </w:p>
    <w:p>
      <w:pPr>
        <w:spacing w:after="100"/>
      </w:pPr>
      <w:r>
        <w:rPr>
          <w:b/>
          <w:bCs/>
          <w:sz w:val="20"/>
          <w:szCs w:val="20"/>
        </w:rPr>
        <w:t xml:space="preserve">2026-04-02 — Prabhat_Mohanty</w:t>
      </w:r>
      <w:r>
        <w:rPr>
          <w:i/>
          <w:iCs/>
          <w:color w:val="666666"/>
          <w:sz w:val="18"/>
          <w:szCs w:val="18"/>
        </w:rPr>
        <w:t xml:space="preserve"> (TGV SRAAC)</w:t>
      </w:r>
      <w:r>
        <w:rPr>
          <w:sz w:val="20"/>
          <w:szCs w:val="20"/>
        </w:rPr>
        <w:br/>
        <w:t xml:space="preserve">: Argued the stock is significantly undervalued on replacement-cost and capacity-build-up grounds, attributing the languishing valuation specifically to poor promoter/shareholder communication (no concalls, minimal disclosure) rather than to weak fundamentals, which he called genuinely strong.</w:t>
      </w:r>
    </w:p>
    <w:p>
      <w:pPr>
        <w:pStyle w:val="Heading1"/>
        <w:spacing w:after="120" w:before="280"/>
      </w:pPr>
      <w:r>
        <w:t xml:space="preserve">BSE Corporate Actions / Other Red Flags</w:t>
      </w:r>
    </w:p>
    <w:p>
      <w:pPr>
        <w:spacing w:after="120"/>
      </w:pPr>
      <w:r>
        <w:t xml:space="preserve">History of litigation with Andhra Pradesh Electricity Regulatory Commission (APERC) over retrospective power-cost demands, which the company contests and occasionally has to pre-emptively write off, then write back when it wins — a recurring, disclosed pattern rather than a new red flag. Six-product-line capacity expansion (KOH +27,150 TPA, Liquid Chlorine +17,160 TPA, Methylene Chloride +17,817 TPA, and others) announced effective April 2026. Solar capacity added in steady 2.5 MWp increments through 2026, reaching 62.90 MWp (from 55.40 MWp in March 2026).</w:t>
      </w:r>
    </w:p>
    <w:p>
      <w:pPr>
        <w:pStyle w:val="Heading1"/>
        <w:spacing w:after="120" w:before="280"/>
      </w:pPr>
      <w:r>
        <w:t xml:space="preserve">Bull Case</w:t>
      </w:r>
    </w:p>
    <w:p>
      <w:pPr>
        <w:pStyle w:val="ListParagraph"/>
        <w:numPr>
          <w:ilvl w:val="0"/>
          <w:numId w:val="1"/>
        </w:numPr>
        <w:spacing w:after="60"/>
      </w:pPr>
      <w:r>
        <w:t xml:space="preserve">Cheap valuation (7.9x trailing P/E, 0.85x book value) alongside double-digit ROCE (13%) and continuing double-digit growth (FY26 sales +13.2%, PAT +53.3%; Q1 FY27 sales +10.3%/PAT +17.2% YoY)</w:t>
      </w:r>
    </w:p>
    <w:p>
      <w:pPr>
        <w:pStyle w:val="ListParagraph"/>
        <w:numPr>
          <w:ilvl w:val="0"/>
          <w:numId w:val="1"/>
        </w:numPr>
        <w:spacing w:after="60"/>
      </w:pPr>
      <w:r>
        <w:t xml:space="preserve">Structural cost advantage building via aggressive captive-solar capacity additions (55.4 MWp to 62.9 MWp through 2026 alone), directly reducing the largest input cost (power) in caustic production — verified as actually executing on schedule via repeated 2026 BSE filings, not just a stated plan</w:t>
      </w:r>
    </w:p>
    <w:p>
      <w:pPr>
        <w:pStyle w:val="ListParagraph"/>
        <w:numPr>
          <w:ilvl w:val="0"/>
          <w:numId w:val="1"/>
        </w:numPr>
        <w:spacing w:after="60"/>
      </w:pPr>
      <w:r>
        <w:t xml:space="preserve">Forward integration into chloromethanes/derivatives (six-product-line capacity expansion effective April 2026) insulates against industry-wide negative chlorine realizations that are hurting less-integrated peers (DCM Shriram, Gujarat Alkalies)</w:t>
      </w:r>
    </w:p>
    <w:p>
      <w:pPr>
        <w:pStyle w:val="ListParagraph"/>
        <w:numPr>
          <w:ilvl w:val="0"/>
          <w:numId w:val="1"/>
        </w:numPr>
        <w:spacing w:after="60"/>
      </w:pPr>
      <w:r>
        <w:t xml:space="preserve">China anti-involution capacity cuts and European shutdowns (Ineos Inovyn, Dow) are genuine, multi-year, industry-wide caustic-price tailwinds independent of company execution — corroborated this pass by actual Indian caustic soda price data rising ~19% (Apr-Jul 2026) on demand-led recovery</w:t>
      </w:r>
    </w:p>
    <w:p>
      <w:pPr>
        <w:pStyle w:val="ListParagraph"/>
        <w:numPr>
          <w:ilvl w:val="0"/>
          <w:numId w:val="1"/>
        </w:numPr>
        <w:spacing w:after="60"/>
      </w:pPr>
      <w:r>
        <w:t xml:space="preserve">Consistent promoter buying at multiple price points (Rs 97-111/share) through 2025-26; promoter holding rising slowly (63.18% in 2023 to 64.27% Jun 2026) with zero pledge</w:t>
      </w:r>
    </w:p>
    <w:p>
      <w:pPr>
        <w:pStyle w:val="Heading1"/>
        <w:spacing w:after="120" w:before="280"/>
      </w:pPr>
      <w:r>
        <w:t xml:space="preserve">Bear Case / Key Risks</w:t>
      </w:r>
    </w:p>
    <w:p>
      <w:pPr>
        <w:pStyle w:val="ListParagraph"/>
        <w:numPr>
          <w:ilvl w:val="0"/>
          <w:numId w:val="1"/>
        </w:numPr>
        <w:spacing w:after="60"/>
      </w:pPr>
      <w:r>
        <w:t xml:space="preserve">Large new caustic capacity from Reliance and Adani (Adani's 2,200 TPD Mundra project alone is described as India's largest chlor-alkali project, targeted live by 2027-28) is a real, sizeable, and now well-corroborated medium-term oversupply risk the community itself actively debates</w:t>
      </w:r>
    </w:p>
    <w:p>
      <w:pPr>
        <w:pStyle w:val="ListParagraph"/>
        <w:numPr>
          <w:ilvl w:val="0"/>
          <w:numId w:val="1"/>
        </w:numPr>
        <w:spacing w:after="60"/>
      </w:pPr>
      <w:r>
        <w:t xml:space="preserve">Q4 FY26 already showed the margin cycle turning before any of that new competing capacity has even landed: OPM contracted 72bps QoQ to 16.56%, gross margin compressed 17.81%-&gt;15.72%, on rising employee costs (+10.26% QoQ) and a 76% QoQ jump in interest expense — a live warning that the current 16-18% OPM band may be nearer a cycle peak than a new normal</w:t>
      </w:r>
    </w:p>
    <w:p>
      <w:pPr>
        <w:pStyle w:val="ListParagraph"/>
        <w:numPr>
          <w:ilvl w:val="0"/>
          <w:numId w:val="1"/>
        </w:numPr>
        <w:spacing w:after="60"/>
      </w:pPr>
      <w:r>
        <w:t xml:space="preserve">Persistently poor shareholder communication — no press releases after results, minimal concalls, low dividend payout (12.5% of profits over 3 years) despite strong profitability — a real governance/communication gap even without a disqualifying red flag</w:t>
      </w:r>
    </w:p>
    <w:p>
      <w:pPr>
        <w:pStyle w:val="ListParagraph"/>
        <w:numPr>
          <w:ilvl w:val="0"/>
          <w:numId w:val="1"/>
        </w:numPr>
        <w:spacing w:after="60"/>
      </w:pPr>
      <w:r>
        <w:t xml:space="preserve">Recurring APERC power-cost litigation creates noisy, hard-to-model quarterly write-off/write-back swings in reported profit</w:t>
      </w:r>
    </w:p>
    <w:p>
      <w:pPr>
        <w:pStyle w:val="ListParagraph"/>
        <w:numPr>
          <w:ilvl w:val="0"/>
          <w:numId w:val="1"/>
        </w:numPr>
        <w:spacing w:after="60"/>
      </w:pPr>
      <w:r>
        <w:t xml:space="preserve">Caustic soda is fundamentally a cyclical commodity chemical — 3-year average ROE of just 7.26% and a 3-year profit CAGR of -29% (FY24 trough: sales -34%, OPM 3.8%) underline how quickly the current tailwind (China cuts, Europe shutdowns) could reverse as new domestic capacity comes online</w:t>
      </w:r>
    </w:p>
    <w:p>
      <w:pPr>
        <w:pStyle w:val="Heading1"/>
        <w:spacing w:after="120" w:before="280"/>
      </w:pPr>
      <w:r>
        <w:t xml:space="preserve">Market-Cap Tier (informational — not a gate in this project)</w:t>
      </w:r>
    </w:p>
    <w:p>
      <w:pPr>
        <w:spacing w:after="120"/>
      </w:pPr>
      <w:r>
        <w:rPr>
          <w:b/>
          <w:bCs/>
        </w:rPr>
        <w:t xml:space="preserve">Small-cap (~Rs 1,093 Cr)</w:t>
      </w:r>
    </w:p>
    <w:p>
      <w:pPr>
        <w:pStyle w:val="Heading1"/>
        <w:spacing w:after="120" w:before="280"/>
      </w:pPr>
      <w:r>
        <w:t xml:space="preserve">Thesis Fit</w:t>
      </w:r>
    </w:p>
    <w:p>
      <w:pPr>
        <w:spacing w:after="120"/>
      </w:pPr>
      <w:r>
        <w:rPr>
          <w:b/>
          <w:bCs/>
          <w:sz w:val="24"/>
          <w:szCs w:val="24"/>
        </w:rPr>
        <w:t xml:space="preserve">neither</w:t>
      </w:r>
    </w:p>
    <w:p>
      <w:pPr>
        <w:spacing w:after="120"/>
      </w:pPr>
      <w:r>
        <w:rPr>
          <w:color w:val="666666"/>
          <w:sz w:val="20"/>
          <w:szCs w:val="20"/>
        </w:rPr>
        <w:t xml:space="preserve">4-box gate — tailwind: yes · TAM: no · moat: weak · valuation: yes  (score 2.5 / 4)</w:t>
      </w:r>
    </w:p>
    <w:p>
      <w:pPr>
        <w:spacing w:after="120"/>
      </w:pPr>
      <w:r>
        <w:rPr>
          <w:i/>
          <w:iCs/>
          <w:color w:val="666666"/>
          <w:sz w:val="20"/>
          <w:szCs w:val="20"/>
        </w:rPr>
        <w:t xml:space="preserve">China anti-involution capacity cuts + European shutdowns (Ineos Inovyn, Dow) remain a real multi-year industry tailwind, corroborated this pass by actual Indian caustic price data (+19% Apr-Jul 2026); but large new caustic capacity from Reliance/Adani (Adani's 2,200 TPD Mundra project confirmed as India's largest chlor-alkali project, targeted live 2027-28) is a real, confirmed oversupply risk - tam no. Downgraded moat from yes to weak this pass: captive-solar/forward-integration cost reduction is real and executing on schedule but is a cost cushion, not pricing power or switching costs, and new entrants will likely be built even more efficiently. ~7.9x trailing P/E, 0.85x book - valuation yes. Score 2.5 (2.0-2.5 band); kept as neither on business-model grounds (cyclical commodity, no durable moat) rather than invoking the valuation exception.</w:t>
      </w:r>
    </w:p>
    <w:p>
      <w:pPr>
        <w:pStyle w:val="Heading1"/>
        <w:spacing w:after="120" w:before="280"/>
      </w:pPr>
      <w:r>
        <w:t xml:space="preserve">Verdict</w:t>
      </w:r>
    </w:p>
    <w:p>
      <w:pPr>
        <w:spacing w:after="120"/>
      </w:pPr>
      <w:r>
        <w:rPr>
          <w:b/>
          <w:bCs/>
          <w:sz w:val="24"/>
          <w:szCs w:val="24"/>
        </w:rPr>
        <w:t xml:space="preserve">Genuinely cheap, low-cost chlor-alkali operator with real, executing cost-reduction and forward-integration programs, but this remains a cyclical commodity-chemical business whose margin cycle already shows early signs of turning just as large new domestic capacity is confirmed for 2027-28</w:t>
      </w:r>
    </w:p>
    <w:p>
      <w:pPr>
        <w:pStyle w:val="ListParagraph"/>
        <w:numPr>
          <w:ilvl w:val="0"/>
          <w:numId w:val="1"/>
        </w:numPr>
        <w:spacing w:after="60"/>
      </w:pPr>
      <w:r>
        <w:t xml:space="preserve">Strong recent execution (double-digit growth, cheap valuation below book, real and verified solar-driven cost reduction and capacity expansion) makes this a credible value/GARP idea, but caustic soda remains a cyclical commodity where large new domestic capacity (Reliance, and Adani's confirmed India's-largest 2,200 TPD Mundra project) is a real 2027-28 supply risk that caps the multi-year compounding case</w:t>
      </w:r>
    </w:p>
    <w:p>
      <w:pPr>
        <w:pStyle w:val="ListParagraph"/>
        <w:numPr>
          <w:ilvl w:val="0"/>
          <w:numId w:val="1"/>
        </w:numPr>
        <w:spacing w:after="60"/>
      </w:pPr>
      <w:r>
        <w:t xml:space="preserve">This pass downgrades the moat read from 'yes' to 'weak': captive solar and forward integration lower TGV's own cost base but don't create pricing power or switching costs, and better-capitalized new entrants (Reliance, Adani) will likely build even more efficient plants — cost reduction here is a margin cushion, not a durable moat</w:t>
      </w:r>
    </w:p>
    <w:p>
      <w:pPr>
        <w:pStyle w:val="ListParagraph"/>
        <w:numPr>
          <w:ilvl w:val="0"/>
          <w:numId w:val="1"/>
        </w:numPr>
        <w:spacing w:after="60"/>
      </w:pPr>
      <w:r>
        <w:t xml:space="preserve">The persistent shareholder-communication gap, while not a disqualifying red flag, is exactly the kind of governance friction that has kept this cheap for years and could continue to do so regardless of operational performance</w:t>
      </w:r>
    </w:p>
    <w:p>
      <w:pPr>
        <w:pStyle w:val="ListParagraph"/>
        <w:numPr>
          <w:ilvl w:val="0"/>
          <w:numId w:val="1"/>
        </w:numPr>
        <w:spacing w:after="60"/>
      </w:pPr>
      <w:r>
        <w:t xml:space="preserve">Sits as 'neither' primarily on business-model grounds (cyclical commodity chemical, four_box score 2.5) rather than execution — a reasonable value holding, not a multibagger thesis</w:t>
      </w:r>
    </w:p>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2026-09-19T03:31:55.140Z</dcterms:created>
  <dcterms:modified xsi:type="dcterms:W3CDTF">2026-09-19T03:31:55.145Z</dcterms:modified>
</cp:coreProperties>
</file>

<file path=docProps/custom.xml><?xml version="1.0" encoding="utf-8"?>
<Properties xmlns="http://schemas.openxmlformats.org/officeDocument/2006/custom-properties" xmlns:vt="http://schemas.openxmlformats.org/officeDocument/2006/docPropsVTypes"/>
</file>