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5F"/>
          <w:sz w:val="44"/>
          <w:szCs w:val="44"/>
        </w:rPr>
        <w:t xml:space="preserve">ValuePickr Open Screen: Portfolio Allocation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0"/>
          <w:szCs w:val="20"/>
        </w:rPr>
        <w:t xml:space="preserve">Compiled 2026-09-11 — built from the ongoing ValuePickr-wide open screen (separate from the original 108-stock project's docs/00b_PORTFOLIO_Rs1L_Allocation.docx)</w:t>
      </w:r>
    </w:p>
    <w:p>
      <w:pPr>
        <w:shd w:fill="FFF4E5" w:val="clear"/>
        <w:spacing w:after="240"/>
      </w:pPr>
      <w:r>
        <w:rPr>
          <w:b/>
          <w:bCs/>
          <w:sz w:val="20"/>
          <w:szCs w:val="20"/>
        </w:rPr>
        <w:t xml:space="preserve">I am not a licensed financial advisor, and this is not personalized investment advice. This is an illustrative, research-based allocation model, built to be transparent about assumptions so you can judge and adjust it. Prices are approximate and dated - verify live prices before acting. Do your own due diligence and consider a licensed advisor before investing real money.</w:t>
      </w:r>
    </w:p>
    <w:p>
      <w:pPr>
        <w:pStyle w:val="Heading1"/>
        <w:spacing w:after="140" w:before="320"/>
      </w:pPr>
      <w:r>
        <w:rPr>
          <w:b/>
          <w:bCs/>
          <w:color w:val="1F4E5F"/>
          <w:sz w:val="30"/>
          <w:szCs w:val="30"/>
        </w:rPr>
        <w:t xml:space="preserve">Thesis &amp; Sizing Philosophy</w:t>
      </w:r>
    </w:p>
    <w:p>
      <w:pPr>
        <w:spacing w:after="120"/>
      </w:pPr>
      <w:r>
        <w:t xml:space="preserve">Illustrative Rs 1,00,000 allocation drawn purely from this project's Tier-A bucket (conviction_score &gt;= 60, thesis_fit = 10x-in-2-3-years, no red flag). Tier A more than doubled this cycle (6 -&gt; 12 names) as a broad, mechanical quality-data refresh (more deepdive coverage feeding quality_lift) lifted scores across most of the prior Tier-B batch simultaneously -- HBL Engineering, Vivid Electromech, Raymond Realty, Entero Healthcare, P.E. Analytics, Matrimony.com and Dynamic Cables all crossed 60 this run. Wockhardt Ltd's score fell from 61.3 to 55.9 on trusted-signal recency decay and exits the Tier-A bucket (and this portfolio) this cycle -- the underlying Zaynich/margin-turnaround thesis is unchanged, it simply no longer clears the mechanical bar. Two Tier-A names (Vivid Electromech, P.E. Analytics) have no resolvable Yahoo Finance symbol (illiquid SME/micro-cap listings) and are excluded from this tradable allocation pending a manual price check, not because of any thesis concern. Of the remaining ten, sizing follows conviction_score and thesis-return-magnitude, tilted by the expectation-gap read: Aeroflex and HBL are held at the smallest positions despite high/mid conviction because their expectation-gap scores flag the catalyst as already priced in (Aeroflex 0, 'over-optimistic') or lacking a near-term catalyst (HBL, 'no-catalyst', gap 24). The book now spans ten largely independent sectors -- specialty pharma, machine tools, diagnostics, AI-datacentre thermal, industrial packaging, rail signalling/Kavach, real-estate redevelopment, healthcare distribution, internet/matchmaking platform and power cables -- a meaningfully more diversified book than the prior six-name version. Prices were live-pulled from Yahoo Finance at compile time (2026-09-11); reverify before acting. A ~12% cash buffer is held back.</w:t>
      </w:r>
    </w:p>
    <w:p>
      <w:pPr>
        <w:pStyle w:val="Heading1"/>
        <w:spacing w:after="140" w:before="320"/>
      </w:pPr>
      <w:r>
        <w:rPr>
          <w:b/>
          <w:bCs/>
          <w:color w:val="1F4E5F"/>
          <w:sz w:val="30"/>
          <w:szCs w:val="30"/>
        </w:rPr>
        <w:t xml:space="preserve">Final Allocation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1200"/>
        <w:gridCol w:w="1200"/>
        <w:gridCol w:w="1200"/>
      </w:tblGrid>
      <w:tr>
        <w:tc>
          <w:tcPr>
            <w:tcW w:type="dxa" w:w="2600"/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Stock</w:t>
            </w:r>
          </w:p>
        </w:tc>
        <w:tc>
          <w:tcPr>
            <w:tcW w:type="dxa" w:w="1400"/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Weight</w:t>
            </w:r>
          </w:p>
        </w:tc>
        <w:tc>
          <w:tcPr>
            <w:tcW w:type="dxa" w:w="1400"/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Amount (Rs)</w:t>
            </w:r>
          </w:p>
        </w:tc>
        <w:tc>
          <w:tcPr>
            <w:tcW w:type="dxa" w:w="1200"/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Approx Price (Rs)</w:t>
            </w:r>
          </w:p>
        </w:tc>
        <w:tc>
          <w:tcPr>
            <w:tcW w:type="dxa" w:w="1200"/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Approx Shares</w:t>
            </w:r>
          </w:p>
        </w:tc>
        <w:tc>
          <w:tcPr>
            <w:tcW w:type="dxa" w:w="1200"/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Conviction</w:t>
            </w:r>
          </w:p>
        </w:tc>
      </w:tr>
      <w:tr>
        <w:tc>
          <w:tcPr>
            <w:tcW w:type="dxa" w:w="2600"/>
          </w:tcPr>
          <w:p>
            <w:r>
              <w:rPr>
                <w:sz w:val="18"/>
                <w:szCs w:val="18"/>
              </w:rPr>
              <w:t xml:space="preserve">Venus Remedies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15%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14546.7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1616.3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0"/>
          </w:tcPr>
          <w:p>
            <w:r>
              <w:rPr>
                <w:sz w:val="18"/>
                <w:szCs w:val="18"/>
              </w:rPr>
              <w:t xml:space="preserve">Thyrocare Technologies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11%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10994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549.7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0"/>
          </w:tcPr>
          <w:p>
            <w:r>
              <w:rPr>
                <w:sz w:val="18"/>
                <w:szCs w:val="18"/>
              </w:rPr>
              <w:t xml:space="preserve">Time Technoplast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10%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9944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180.8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55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Medium-High</w:t>
            </w:r>
          </w:p>
        </w:tc>
      </w:tr>
      <w:tr>
        <w:tc>
          <w:tcPr>
            <w:tcW w:type="dxa" w:w="2600"/>
          </w:tcPr>
          <w:p>
            <w:r>
              <w:rPr>
                <w:sz w:val="18"/>
                <w:szCs w:val="18"/>
              </w:rPr>
              <w:t xml:space="preserve">Macpower CNC Machines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9%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9215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1843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0"/>
          </w:tcPr>
          <w:p>
            <w:r>
              <w:rPr>
                <w:sz w:val="18"/>
                <w:szCs w:val="18"/>
              </w:rPr>
              <w:t xml:space="preserve">Dynamic Cables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9%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9109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455.45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Medium-High</w:t>
            </w:r>
          </w:p>
        </w:tc>
      </w:tr>
      <w:tr>
        <w:tc>
          <w:tcPr>
            <w:tcW w:type="dxa" w:w="2600"/>
          </w:tcPr>
          <w:p>
            <w:r>
              <w:rPr>
                <w:sz w:val="18"/>
                <w:szCs w:val="18"/>
              </w:rPr>
              <w:t xml:space="preserve">Matrimony.com Ltd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9%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8751.6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514.8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Medium-High</w:t>
            </w:r>
          </w:p>
        </w:tc>
      </w:tr>
      <w:tr>
        <w:tc>
          <w:tcPr>
            <w:tcW w:type="dxa" w:w="2600"/>
          </w:tcPr>
          <w:p>
            <w:r>
              <w:rPr>
                <w:sz w:val="18"/>
                <w:szCs w:val="18"/>
              </w:rPr>
              <w:t xml:space="preserve">Entero Healthcare Solutions Ltd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7%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7261.6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1815.4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Medium-High</w:t>
            </w:r>
          </w:p>
        </w:tc>
      </w:tr>
      <w:tr>
        <w:tc>
          <w:tcPr>
            <w:tcW w:type="dxa" w:w="2600"/>
          </w:tcPr>
          <w:p>
            <w:r>
              <w:rPr>
                <w:sz w:val="18"/>
                <w:szCs w:val="18"/>
              </w:rPr>
              <w:t xml:space="preserve">Raymond Realty Ltd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7%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7002.6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583.55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Medium-High</w:t>
            </w:r>
          </w:p>
        </w:tc>
      </w:tr>
      <w:tr>
        <w:tc>
          <w:tcPr>
            <w:tcW w:type="dxa" w:w="2600"/>
          </w:tcPr>
          <w:p>
            <w:r>
              <w:rPr>
                <w:sz w:val="18"/>
                <w:szCs w:val="18"/>
              </w:rPr>
              <w:t xml:space="preserve">HBL Engineering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6%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5777.6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722.2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Medium-High</w:t>
            </w:r>
          </w:p>
        </w:tc>
      </w:tr>
      <w:tr>
        <w:tc>
          <w:tcPr>
            <w:tcW w:type="dxa" w:w="2600"/>
          </w:tcPr>
          <w:p>
            <w:r>
              <w:rPr>
                <w:sz w:val="18"/>
                <w:szCs w:val="18"/>
              </w:rPr>
              <w:t xml:space="preserve">Aeroflex Industries Ltd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6%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5639.5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563.95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~88% deployed (Rs 88,241.60), ~12% (Rs 11,758.40) held as cash buffer. Sizing rule: conviction_score sets the base weight, then an expectation-gap tilt adjusts it -- Venus (score 91, gap 70 favourable) and Thyrocare (score 75, gap 55 favourable) get the top two slots; Aeroflex (score 85, the batch's second-highest) and HBL Engineering (score 66) are held at the smallest positions in the book because their expectation-gap scores flag the near-term catalyst as already priced in (Aeroflex: 0, 'over-optimistic') or absent (HBL: 24, 'no-catalyst') despite otherwise clearing Tier A comfortably. Vivid Electromech (score 62) and P.E. Analytics (score 61) are Tier-A by score but excluded from this tradable allocation -- no resolvable Yahoo symbol (SME/micro-cap, likely illiquid) -- reprice manually before considering either. All ten listed prices were live-pulled from Yahoo Finance (VENUSREM.NS, THYROCARE.NS, TIMETECHNO.NS, MACPOWER.NS, DYCL.NS, MATRIMONY.NS, ENTERO.NS, RAYMONDREL.NS, HBLENGINE.NS, AEROFLEX.NS) at compile time 2026-09-11 -- reverify before acting, markets move.</w:t>
      </w:r>
    </w:p>
    <w:p>
      <w:pPr>
        <w:pStyle w:val="Heading1"/>
        <w:spacing w:after="140" w:before="320"/>
      </w:pPr>
      <w:r>
        <w:rPr>
          <w:b/>
          <w:bCs/>
          <w:color w:val="1F4E5F"/>
          <w:sz w:val="30"/>
          <w:szCs w:val="30"/>
        </w:rPr>
        <w:t xml:space="preserve">Per-Stock Detail</w:t>
      </w:r>
    </w:p>
    <w:p>
      <w:pPr>
        <w:spacing w:after="40" w:before="240"/>
      </w:pPr>
      <w:r>
        <w:rPr>
          <w:b/>
          <w:bCs/>
          <w:sz w:val="26"/>
          <w:szCs w:val="26"/>
        </w:rPr>
        <w:t xml:space="preserve">Venus Remedies</w:t>
      </w:r>
      <w:r>
        <w:rPr>
          <w:b/>
          <w:bCs/>
          <w:color w:val="1E7A34"/>
          <w:sz w:val="20"/>
          <w:szCs w:val="20"/>
        </w:rPr>
        <w:t xml:space="preserve">  —  15% allocation  |  Conviction: High</w:t>
      </w:r>
    </w:p>
    <w:p>
      <w:pPr>
        <w:spacing w:after="100"/>
      </w:pPr>
      <w:r>
        <w:rPr>
          <w:i/>
          <w:iCs/>
          <w:color w:val="666666"/>
          <w:sz w:val="20"/>
          <w:szCs w:val="20"/>
        </w:rPr>
        <w:t xml:space="preserve">Turned-around, debt-free injectables/oncology exporter whose FY26 filings confirm the inflection is cash-backed</w:t>
      </w:r>
    </w:p>
    <w:p>
      <w:pPr>
        <w:spacing w:after="120"/>
      </w:pPr>
      <w:r>
        <w:t xml:space="preserve">Venus generates ~Rs 811 Cr revenue at 4x the EBITDA of peer Orchid Pharma, yet trades at roughly 1/5th Orchid's market cap and 2-3x cheaper than peers Sakar, Beta Drugs and Sai Parenteral -- a peer-valuation-gap re-rating thesis, not a pure growth story. FY26 confirmed the profit is real: CFO matched or exceeded EBITDA for a second straight year while receivables fell, revenue +17.9%, PAT +127%. Balance sheet is genuinely debt-free (~Rs 12 Cr borrowings, &gt;Rs 250 Cr cash, zero pledge), first dividend in 13 years. A trusted investor (phreakv6, core-tier) disclosed a position on this exact thesis.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Why this weight: </w:t>
      </w:r>
      <w:r>
        <w:rPr>
          <w:sz w:val="20"/>
          <w:szCs w:val="20"/>
        </w:rPr>
        <w:t xml:space="preserve">Highest conviction_score in the whole batch (91.37) combined with the most favourable expectation-gap read (70, no 'priced-in' flag) -- the largest position by a clear margin.</w:t>
      </w:r>
    </w:p>
    <w:p>
      <w:pPr>
        <w:spacing w:after="160"/>
      </w:pPr>
      <w:r>
        <w:rPr>
          <w:b/>
          <w:bCs/>
          <w:color w:val="A32020"/>
          <w:sz w:val="20"/>
          <w:szCs w:val="20"/>
        </w:rPr>
        <w:t xml:space="preserve">Watch for (thesis-breakers): </w:t>
      </w:r>
      <w:r>
        <w:rPr>
          <w:sz w:val="20"/>
          <w:szCs w:val="20"/>
        </w:rPr>
        <w:t xml:space="preserve">~Rs 23 Cr of FY26 operating profit was one-offs (Cipla milestone + PLI incentive) -- normalised OPM is ~17%, not the 20.8% headline. Management previously set and missed a Rs 1,000 Cr FY25 revenue target, so any new guidance carries a credibility discount. Still no concalls or investor presentations despite the size reached.</w:t>
      </w:r>
    </w:p>
    <w:p>
      <w:pPr>
        <w:spacing w:after="40" w:before="240"/>
      </w:pPr>
      <w:r>
        <w:rPr>
          <w:b/>
          <w:bCs/>
          <w:sz w:val="26"/>
          <w:szCs w:val="26"/>
        </w:rPr>
        <w:t xml:space="preserve">Thyrocare Technologies</w:t>
      </w:r>
      <w:r>
        <w:rPr>
          <w:b/>
          <w:bCs/>
          <w:color w:val="1E7A34"/>
          <w:sz w:val="20"/>
          <w:szCs w:val="20"/>
        </w:rPr>
        <w:t xml:space="preserve">  —  11% allocation  |  Conviction: High</w:t>
      </w:r>
    </w:p>
    <w:p>
      <w:pPr>
        <w:spacing w:after="100"/>
      </w:pPr>
      <w:r>
        <w:rPr>
          <w:i/>
          <w:iCs/>
          <w:color w:val="666666"/>
          <w:sz w:val="20"/>
          <w:szCs w:val="20"/>
        </w:rPr>
        <w:t xml:space="preserve">Debt-free, asset-light diagnostics chain with accelerating PAT growth and a compressing multiple</w:t>
      </w:r>
    </w:p>
    <w:p>
      <w:pPr>
        <w:spacing w:after="120"/>
      </w:pPr>
      <w:r>
        <w:t xml:space="preserve">FY26 PAT +81% YoY, Q1 FY27 PAT +34% YoY, on an almost debt-free, asset-light diagnostics-chain model. The trailing multiple has compressed purely because profit growth has outrun the price. A radiology-segment divestment is concretely in-process and would sharpen the core-business focus plus add a one-time cash catalyst.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Why this weight: </w:t>
      </w:r>
      <w:r>
        <w:rPr>
          <w:sz w:val="20"/>
          <w:szCs w:val="20"/>
        </w:rPr>
        <w:t xml:space="preserve">conviction_score 75.0 with a favourable expectation-gap read (55) -- sized second after Venus.</w:t>
      </w:r>
    </w:p>
    <w:p>
      <w:pPr>
        <w:spacing w:after="160"/>
      </w:pPr>
      <w:r>
        <w:rPr>
          <w:b/>
          <w:bCs/>
          <w:color w:val="A32020"/>
          <w:sz w:val="20"/>
          <w:szCs w:val="20"/>
        </w:rPr>
        <w:t xml:space="preserve">Watch for (thesis-breakers): </w:t>
      </w:r>
      <w:r>
        <w:rPr>
          <w:sz w:val="20"/>
          <w:szCs w:val="20"/>
        </w:rPr>
        <w:t xml:space="preserve">Promoter holding has fallen sharply via staged stake sales to repay parent debt -- track that this stabilises rather than continuing to decline. The radiology divestment closing (or stalling) is the near-term event to watch.</w:t>
      </w:r>
    </w:p>
    <w:p>
      <w:pPr>
        <w:spacing w:after="40" w:before="240"/>
      </w:pPr>
      <w:r>
        <w:rPr>
          <w:b/>
          <w:bCs/>
          <w:sz w:val="26"/>
          <w:szCs w:val="26"/>
        </w:rPr>
        <w:t xml:space="preserve">Time Technoplast</w:t>
      </w:r>
      <w:r>
        <w:rPr>
          <w:b/>
          <w:bCs/>
          <w:color w:val="3D7A1E"/>
          <w:sz w:val="20"/>
          <w:szCs w:val="20"/>
        </w:rPr>
        <w:t xml:space="preserve">  —  10% allocation  |  Conviction: Medium-High</w:t>
      </w:r>
    </w:p>
    <w:p>
      <w:pPr>
        <w:spacing w:after="100"/>
      </w:pPr>
      <w:r>
        <w:rPr>
          <w:i/>
          <w:iCs/>
          <w:color w:val="666666"/>
          <w:sz w:val="20"/>
          <w:szCs w:val="20"/>
        </w:rPr>
        <w:t xml:space="preserve">Industrial-packaging compounder finishing a multi-year deleveraging, cheap and with a favourable expectation-gap read</w:t>
      </w:r>
    </w:p>
    <w:p>
      <w:pPr>
        <w:spacing w:after="120"/>
      </w:pPr>
      <w:r>
        <w:t xml:space="preserve">Multiple consecutive quarters of ~20-25% PAT growth, composite (value-added) mix rising, ROCE guided higher, net debt falling toward net-debt-free -- the falling interest drag is a structural, steel-price-independent earnings tailwind on top of volume growth. Cheapest-multiple name in the book with the second-best expectation-gap read (52, 'underestimated').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Why this weight: </w:t>
      </w:r>
      <w:r>
        <w:rPr>
          <w:sz w:val="20"/>
          <w:szCs w:val="20"/>
        </w:rPr>
        <w:t xml:space="preserve">conviction_score 70.37, expectation-gap 51.59 (favourable, 'underestimated') -- sized just behind the top two on the strength of the gap read despite a mid-tier conviction score.</w:t>
      </w:r>
    </w:p>
    <w:p>
      <w:pPr>
        <w:spacing w:after="160"/>
      </w:pPr>
      <w:r>
        <w:rPr>
          <w:b/>
          <w:bCs/>
          <w:color w:val="A32020"/>
          <w:sz w:val="20"/>
          <w:szCs w:val="20"/>
        </w:rPr>
        <w:t xml:space="preserve">Watch for (thesis-breakers): </w:t>
      </w:r>
      <w:r>
        <w:rPr>
          <w:sz w:val="20"/>
          <w:szCs w:val="20"/>
        </w:rPr>
        <w:t xml:space="preserve">The VAP-mix shift and the net-debt-free milestone are the thesis -- a stall in either breaks it. Guidance credibility is historically mixed.</w:t>
      </w:r>
    </w:p>
    <w:p>
      <w:pPr>
        <w:spacing w:after="40" w:before="240"/>
      </w:pPr>
      <w:r>
        <w:rPr>
          <w:b/>
          <w:bCs/>
          <w:sz w:val="26"/>
          <w:szCs w:val="26"/>
        </w:rPr>
        <w:t xml:space="preserve">Macpower CNC Machines</w:t>
      </w:r>
      <w:r>
        <w:rPr>
          <w:b/>
          <w:bCs/>
          <w:color w:val="1E7A34"/>
          <w:sz w:val="20"/>
          <w:szCs w:val="20"/>
        </w:rPr>
        <w:t xml:space="preserve">  —  9% allocation  |  Conviction: High</w:t>
      </w:r>
    </w:p>
    <w:p>
      <w:pPr>
        <w:spacing w:after="100"/>
      </w:pPr>
      <w:r>
        <w:rPr>
          <w:i/>
          <w:iCs/>
          <w:color w:val="666666"/>
          <w:sz w:val="20"/>
          <w:szCs w:val="20"/>
        </w:rPr>
        <w:t xml:space="preserve">CNC machine-tool inflection confirmed across four straight quarters, funded by a capacity-doubling greenfield plant</w:t>
      </w:r>
    </w:p>
    <w:p>
      <w:pPr>
        <w:spacing w:after="120"/>
      </w:pPr>
      <w:r>
        <w:t xml:space="preserve">Multiple consecutive quarters of accelerating revenue/EBITDA growth, driven by a capacity-doubling greenfield plant and a shift toward the premium NEXA product line. Domestic machine-tool import-substitution tailwind underpins the multi-year growth case.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Why this weight: </w:t>
      </w:r>
      <w:r>
        <w:rPr>
          <w:sz w:val="20"/>
          <w:szCs w:val="20"/>
        </w:rPr>
        <w:t xml:space="preserve">conviction_score 80.75, the third-highest in the batch, but expectation-gap only 30.47 (moderate, growth partially priced) -- held below Venus/Thyrocare/Time Technoplast on that basis.</w:t>
      </w:r>
    </w:p>
    <w:p>
      <w:pPr>
        <w:spacing w:after="160"/>
      </w:pPr>
      <w:r>
        <w:rPr>
          <w:b/>
          <w:bCs/>
          <w:color w:val="A32020"/>
          <w:sz w:val="20"/>
          <w:szCs w:val="20"/>
        </w:rPr>
        <w:t xml:space="preserve">Watch for (thesis-breakers): </w:t>
      </w:r>
      <w:r>
        <w:rPr>
          <w:sz w:val="20"/>
          <w:szCs w:val="20"/>
        </w:rPr>
        <w:t xml:space="preserve">Rich trailing multiple already prices in a good chunk of the growth; cash conversion has run behind reported PAT during the capacity ramp -- watch for this normalising as the greenfield plant scales.</w:t>
      </w:r>
    </w:p>
    <w:p>
      <w:pPr>
        <w:spacing w:after="40" w:before="240"/>
      </w:pPr>
      <w:r>
        <w:rPr>
          <w:b/>
          <w:bCs/>
          <w:sz w:val="26"/>
          <w:szCs w:val="26"/>
        </w:rPr>
        <w:t xml:space="preserve">Dynamic Cables</w:t>
      </w:r>
      <w:r>
        <w:rPr>
          <w:b/>
          <w:bCs/>
          <w:color w:val="3D7A1E"/>
          <w:sz w:val="20"/>
          <w:szCs w:val="20"/>
        </w:rPr>
        <w:t xml:space="preserve">  —  9% allocation  |  Conviction: Medium-High</w:t>
      </w:r>
    </w:p>
    <w:p>
      <w:pPr>
        <w:spacing w:after="100"/>
      </w:pPr>
      <w:r>
        <w:rPr>
          <w:i/>
          <w:iCs/>
          <w:color w:val="666666"/>
          <w:sz w:val="20"/>
          <w:szCs w:val="20"/>
        </w:rPr>
        <w:t xml:space="preserve">Power-cable maker on the T&amp;D + solar capex super-cycle, best expectation-gap read among the new Tier-A entrants</w:t>
      </w:r>
    </w:p>
    <w:p>
      <w:pPr>
        <w:spacing w:after="120"/>
      </w:pPr>
      <w:r>
        <w:t xml:space="preserve">~30% growth confirmed across multiple concalls, ROCE ~27%, long-term debt repaid, UL 854 + PGCIL approvals opening export/utility demand. Was legacy Tier A in the older screen; re-enters this cycle on the mechanical score refresh.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Why this weight: </w:t>
      </w:r>
      <w:r>
        <w:rPr>
          <w:sz w:val="20"/>
          <w:szCs w:val="20"/>
        </w:rPr>
        <w:t xml:space="preserve">conviction_score 60.18 (just crossed the Tier-A threshold this cycle) but the best expectation-gap score of the seven new entrants (64.57) -- sized ahead of the other newcomers on that basis.</w:t>
      </w:r>
    </w:p>
    <w:p>
      <w:pPr>
        <w:spacing w:after="160"/>
      </w:pPr>
      <w:r>
        <w:rPr>
          <w:b/>
          <w:bCs/>
          <w:color w:val="A32020"/>
          <w:sz w:val="20"/>
          <w:szCs w:val="20"/>
        </w:rPr>
        <w:t xml:space="preserve">Watch for (thesis-breakers): </w:t>
      </w:r>
      <w:r>
        <w:rPr>
          <w:sz w:val="20"/>
          <w:szCs w:val="20"/>
        </w:rPr>
        <w:t xml:space="preserve">A ~Rs 344 Cr Indokrates promoter-related guarantee and capex-timing slippage are the live risks. Confirm the score holds above 60 for a second cycle before treating this as a settled Tier-A position.</w:t>
      </w:r>
    </w:p>
    <w:p>
      <w:pPr>
        <w:spacing w:after="40" w:before="240"/>
      </w:pPr>
      <w:r>
        <w:rPr>
          <w:b/>
          <w:bCs/>
          <w:sz w:val="26"/>
          <w:szCs w:val="26"/>
        </w:rPr>
        <w:t xml:space="preserve">Matrimony.com Ltd</w:t>
      </w:r>
      <w:r>
        <w:rPr>
          <w:b/>
          <w:bCs/>
          <w:color w:val="3D7A1E"/>
          <w:sz w:val="20"/>
          <w:szCs w:val="20"/>
        </w:rPr>
        <w:t xml:space="preserve">  —  9% allocation  |  Conviction: Medium-High</w:t>
      </w:r>
    </w:p>
    <w:p>
      <w:pPr>
        <w:spacing w:after="100"/>
      </w:pPr>
      <w:r>
        <w:rPr>
          <w:i/>
          <w:iCs/>
          <w:color w:val="666666"/>
          <w:sz w:val="20"/>
          <w:szCs w:val="20"/>
        </w:rPr>
        <w:t xml:space="preserve">Hated, cheap category leader with margins inflecting and a favourable expectation-gap read</w:t>
      </w:r>
    </w:p>
    <w:p>
      <w:pPr>
        <w:spacing w:after="120"/>
      </w:pPr>
      <w:r>
        <w:t xml:space="preserve">Category leader earning the large majority of industry profits at a modest EV ex-cash, with easing competition, a buying promoter and operating leverage inflecting (PAT growth well ahead of revenue).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Why this weight: </w:t>
      </w:r>
      <w:r>
        <w:rPr>
          <w:sz w:val="20"/>
          <w:szCs w:val="20"/>
        </w:rPr>
        <w:t xml:space="preserve">conviction_score 60.25 (just crossed the Tier-A threshold) with a favourable expectation-gap score (57.57) -- sized level with Dynamic Cables.</w:t>
      </w:r>
    </w:p>
    <w:p>
      <w:pPr>
        <w:spacing w:after="160"/>
      </w:pPr>
      <w:r>
        <w:rPr>
          <w:b/>
          <w:bCs/>
          <w:color w:val="A32020"/>
          <w:sz w:val="20"/>
          <w:szCs w:val="20"/>
        </w:rPr>
        <w:t xml:space="preserve">Watch for (thesis-breakers): </w:t>
      </w:r>
      <w:r>
        <w:rPr>
          <w:sz w:val="20"/>
          <w:szCs w:val="20"/>
        </w:rPr>
        <w:t xml:space="preserve">The re-rate case is real but needs margins to hold for 2-3 more quarters to be considered confirmed rather than a one-off.</w:t>
      </w:r>
    </w:p>
    <w:p>
      <w:pPr>
        <w:spacing w:after="40" w:before="240"/>
      </w:pPr>
      <w:r>
        <w:rPr>
          <w:b/>
          <w:bCs/>
          <w:sz w:val="26"/>
          <w:szCs w:val="26"/>
        </w:rPr>
        <w:t xml:space="preserve">Entero Healthcare Solutions Ltd</w:t>
      </w:r>
      <w:r>
        <w:rPr>
          <w:b/>
          <w:bCs/>
          <w:color w:val="3D7A1E"/>
          <w:sz w:val="20"/>
          <w:szCs w:val="20"/>
        </w:rPr>
        <w:t xml:space="preserve">  —  7% allocation  |  Conviction: Medium-High</w:t>
      </w:r>
    </w:p>
    <w:p>
      <w:pPr>
        <w:spacing w:after="100"/>
      </w:pPr>
      <w:r>
        <w:rPr>
          <w:i/>
          <w:iCs/>
          <w:color w:val="666666"/>
          <w:sz w:val="20"/>
          <w:szCs w:val="20"/>
        </w:rPr>
        <w:t xml:space="preserve">Five consecutive quarters of confirmed EBITDA margin expansion in pharma distribution</w:t>
      </w:r>
    </w:p>
    <w:p>
      <w:pPr>
        <w:spacing w:after="120"/>
      </w:pPr>
      <w:r>
        <w:t xml:space="preserve">EBITDA margin expansion confirmed across five straight quarters (2.8% -&gt; 4.5%), market cap below TTM sales -- the strongest methodology-confirmed margin-inflection case in the batch.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Why this weight: </w:t>
      </w:r>
      <w:r>
        <w:rPr>
          <w:sz w:val="20"/>
          <w:szCs w:val="20"/>
        </w:rPr>
        <w:t xml:space="preserve">conviction_score 61.42 (just crossed Tier A) with a moderate expectation-gap read (32.72) -- mid-sized position among the newcomers.</w:t>
      </w:r>
    </w:p>
    <w:p>
      <w:pPr>
        <w:spacing w:after="160"/>
      </w:pPr>
      <w:r>
        <w:rPr>
          <w:b/>
          <w:bCs/>
          <w:color w:val="A32020"/>
          <w:sz w:val="20"/>
          <w:szCs w:val="20"/>
        </w:rPr>
        <w:t xml:space="preserve">Watch for (thesis-breakers): </w:t>
      </w:r>
      <w:r>
        <w:rPr>
          <w:sz w:val="20"/>
          <w:szCs w:val="20"/>
        </w:rPr>
        <w:t xml:space="preserve">Distribution-business margins are thin and competitive by nature -- confirm the margin expansion continues rather than mean-reverting as competitors respond.</w:t>
      </w:r>
    </w:p>
    <w:p>
      <w:pPr>
        <w:spacing w:after="40" w:before="240"/>
      </w:pPr>
      <w:r>
        <w:rPr>
          <w:b/>
          <w:bCs/>
          <w:sz w:val="26"/>
          <w:szCs w:val="26"/>
        </w:rPr>
        <w:t xml:space="preserve">Raymond Realty Ltd</w:t>
      </w:r>
      <w:r>
        <w:rPr>
          <w:b/>
          <w:bCs/>
          <w:color w:val="3D7A1E"/>
          <w:sz w:val="20"/>
          <w:szCs w:val="20"/>
        </w:rPr>
        <w:t xml:space="preserve">  —  7% allocation  |  Conviction: Medium-High</w:t>
      </w:r>
    </w:p>
    <w:p>
      <w:pPr>
        <w:spacing w:after="100"/>
      </w:pPr>
      <w:r>
        <w:rPr>
          <w:i/>
          <w:iCs/>
          <w:color w:val="666666"/>
          <w:sz w:val="20"/>
          <w:szCs w:val="20"/>
        </w:rPr>
        <w:t xml:space="preserve">Real embedded-value gap in Thane redevelopment, tempered by leverage</w:t>
      </w:r>
    </w:p>
    <w:p>
      <w:pPr>
        <w:spacing w:after="120"/>
      </w:pPr>
      <w:r>
        <w:t xml:space="preserve">#1 Thane West market share confirmed by multiple trusted elevated users; strong revenue/EBITDA growth YoY; promoter open-market buying; large JDA signed; institutional stake entry; large estimated project surplus per the Aug-2026 investor presentation.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Why this weight: </w:t>
      </w:r>
      <w:r>
        <w:rPr>
          <w:sz w:val="20"/>
          <w:szCs w:val="20"/>
        </w:rPr>
        <w:t xml:space="preserve">conviction_score 61.79 (just crossed Tier A) with a moderate expectation-gap read (30.04) -- sized level with Entero Healthcare, held back of the top-conviction names by real-estate-accounting-driven trailing-ROCE distortion and leverage (D/E ~9.81).</w:t>
      </w:r>
    </w:p>
    <w:p>
      <w:pPr>
        <w:spacing w:after="160"/>
      </w:pPr>
      <w:r>
        <w:rPr>
          <w:b/>
          <w:bCs/>
          <w:color w:val="A32020"/>
          <w:sz w:val="20"/>
          <w:szCs w:val="20"/>
        </w:rPr>
        <w:t xml:space="preserve">Watch for (thesis-breakers): </w:t>
      </w:r>
      <w:r>
        <w:rPr>
          <w:sz w:val="20"/>
          <w:szCs w:val="20"/>
        </w:rPr>
        <w:t xml:space="preserve">Trailing ROCE is distorted by RE accounting, not a genuine profitability signal yet -- watch cash-flow realisation as the Thane JDA and other projects convert bookings to cash.</w:t>
      </w:r>
    </w:p>
    <w:p>
      <w:pPr>
        <w:spacing w:after="40" w:before="240"/>
      </w:pPr>
      <w:r>
        <w:rPr>
          <w:b/>
          <w:bCs/>
          <w:sz w:val="26"/>
          <w:szCs w:val="26"/>
        </w:rPr>
        <w:t xml:space="preserve">HBL Engineering</w:t>
      </w:r>
      <w:r>
        <w:rPr>
          <w:b/>
          <w:bCs/>
          <w:color w:val="3D7A1E"/>
          <w:sz w:val="20"/>
          <w:szCs w:val="20"/>
        </w:rPr>
        <w:t xml:space="preserve">  —  6% allocation  |  Conviction: Medium-High</w:t>
      </w:r>
    </w:p>
    <w:p>
      <w:pPr>
        <w:spacing w:after="100"/>
      </w:pPr>
      <w:r>
        <w:rPr>
          <w:i/>
          <w:iCs/>
          <w:color w:val="666666"/>
          <w:sz w:val="20"/>
          <w:szCs w:val="20"/>
        </w:rPr>
        <w:t xml:space="preserve">Kavach order-book story with excellent trailing returns, but no near-term catalyst per the expectation-gap read</w:t>
      </w:r>
    </w:p>
    <w:p>
      <w:pPr>
        <w:spacing w:after="120"/>
      </w:pPr>
      <w:r>
        <w:t xml:space="preserve">Kavach (train-collision-avoidance) order-book story with excellent trailing returns; multiple elevated-tier trusted users hold it as a top position. Q1 FY27 miss and Tonbo JV uncertainty are live headwinds, independently re-verified as not floor-derived.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Why this weight: </w:t>
      </w:r>
      <w:r>
        <w:rPr>
          <w:sz w:val="20"/>
          <w:szCs w:val="20"/>
        </w:rPr>
        <w:t xml:space="preserve">conviction_score 65.75, the third-highest of the seven new entrants, but the expectation-gap score (24.19) carries an explicit 'no-catalyst' flag -- held to the smallest position in the book alongside Aeroflex on that basis.</w:t>
      </w:r>
    </w:p>
    <w:p>
      <w:pPr>
        <w:spacing w:after="160"/>
      </w:pPr>
      <w:r>
        <w:rPr>
          <w:b/>
          <w:bCs/>
          <w:color w:val="A32020"/>
          <w:sz w:val="20"/>
          <w:szCs w:val="20"/>
        </w:rPr>
        <w:t xml:space="preserve">Watch for (thesis-breakers): </w:t>
      </w:r>
      <w:r>
        <w:rPr>
          <w:sz w:val="20"/>
          <w:szCs w:val="20"/>
        </w:rPr>
        <w:t xml:space="preserve">The 'no-catalyst' flag means the re-rating case needs a fresh, dated trigger (a confirmed large order, Tonbo JV resolution) to re-rate further from here -- absent that, this is a name to hold, not add to.</w:t>
      </w:r>
    </w:p>
    <w:p>
      <w:pPr>
        <w:spacing w:after="40" w:before="240"/>
      </w:pPr>
      <w:r>
        <w:rPr>
          <w:b/>
          <w:bCs/>
          <w:sz w:val="26"/>
          <w:szCs w:val="26"/>
        </w:rPr>
        <w:t xml:space="preserve">Aeroflex Industries Ltd</w:t>
      </w:r>
      <w:r>
        <w:rPr>
          <w:b/>
          <w:bCs/>
          <w:color w:val="1E7A34"/>
          <w:sz w:val="20"/>
          <w:szCs w:val="20"/>
        </w:rPr>
        <w:t xml:space="preserve">  —  6% allocation  |  Conviction: High</w:t>
      </w:r>
    </w:p>
    <w:p>
      <w:pPr>
        <w:spacing w:after="100"/>
      </w:pPr>
      <w:r>
        <w:rPr>
          <w:i/>
          <w:iCs/>
          <w:color w:val="666666"/>
          <w:sz w:val="20"/>
          <w:szCs w:val="20"/>
        </w:rPr>
        <w:t xml:space="preserve">AI data-centre liquid-cooling pivot confirmed in the numbers, but expectation-gap scoring flags it fully priced in</w:t>
      </w:r>
    </w:p>
    <w:p>
      <w:pPr>
        <w:spacing w:after="120"/>
      </w:pPr>
      <w:r>
        <w:t xml:space="preserve">Flexible-hose maker whose pivot into liquid-cooling skids/flow-control for AI data centres (supplying Vertiv) is showing up in reported numbers. A core-trusted investor holds this as a primary position on the same thesis.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Why this weight: </w:t>
      </w:r>
      <w:r>
        <w:rPr>
          <w:sz w:val="20"/>
          <w:szCs w:val="20"/>
        </w:rPr>
        <w:t xml:space="preserve">conviction_score 84.62, the second-highest in the batch, but expectation-gap score is 0 with an explicit 'over-optimistic' flag -- deliberately capped at the smallest position in the book despite the high conviction score, unchanged reasoning from prior cycles.</w:t>
      </w:r>
    </w:p>
    <w:p>
      <w:pPr>
        <w:spacing w:after="160"/>
      </w:pPr>
      <w:r>
        <w:rPr>
          <w:b/>
          <w:bCs/>
          <w:color w:val="A32020"/>
          <w:sz w:val="20"/>
          <w:szCs w:val="20"/>
        </w:rPr>
        <w:t xml:space="preserve">Watch for (thesis-breakers): </w:t>
      </w:r>
      <w:r>
        <w:rPr>
          <w:sz w:val="20"/>
          <w:szCs w:val="20"/>
        </w:rPr>
        <w:t xml:space="preserve">Any deceleration in the skids/liquid-cooling revenue mix, or evidence the Vertiv relationship is at risk rather than expanding, removes the only justification for the stretched multiple. The single most valuation-fragile name in the book.</w:t>
      </w:r>
    </w:p>
    <w:p>
      <w:pPr>
        <w:pStyle w:val="Heading1"/>
        <w:spacing w:after="140" w:before="320"/>
      </w:pPr>
      <w:r>
        <w:rPr>
          <w:b/>
          <w:bCs/>
          <w:color w:val="1F4E5F"/>
          <w:sz w:val="30"/>
          <w:szCs w:val="30"/>
        </w:rPr>
        <w:t xml:space="preserve">Risk Management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2026-09-11 cycle: Tier A grew from 6 to 12 names on a broad mechanical score refresh (more deepdive/quality-score coverage lifting quality_lift across the board), not from fresh individual catalysts on each name -- treat the seven newcomers (HBL, Vivid Electromech, Raymond Realty, Entero Healthcare, P.E. Analytics, Matrimony.com, Dynamic Cables) as provisional until their scores hold above 60 for a second cycle.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Wockhardt Ltd exited the portfolio this cycle: conviction_score fell from 61.3 to 55.9 (below the Tier-A floor) purely on trusted-signal recency decay, not new negative news. The underlying Zaynich/margin-turnaround thesis is intact -- re-add if the score recrosses 60.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Vivid Electromech and P.E. Analytics are Tier-A by score (62.09 and 61.05) but excluded from this tradable allocation -- no resolvable Yahoo Finance symbol, likely illiquid SME/micro-cap listings. Resolve pricing manually before considering either for inclusion.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Ten sectors represented (specialty pharma, diagnostics, industrial packaging, machine tools, power cables, internet platform, healthcare distribution, real estate, rail signalling, AI-datacentre thermal) -- materially more diversified than the prior six-name book, though Venus (specialty pharma) and Entero (healthcare distribution) both carry some healthcare-sector correlation.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Aeroflex and HBL Engineering are held at the smallest positions in the book (6% each) specifically because their expectation-gap scores flag the near-term catalyst as priced-in or absent -- do not add to either without a fresh expectation-gap improvement.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ten prices were live-pulled from Yahoo Finance at compile time (2026-09-11) -- reverify before acting, especially for the newly-added names which have not been priced in a prior cycle.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Cash buffer (~12%) held given how much of Venus, Aeroflex, Macpower and Thyrocare has already re-rated; redeploy only into a fresh Tier-A entry that holds for a second cycle, or an existing position pulling back to a materially cheaper multiple.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Do your own due diligence, verify all current prices and filings, and consult a licensed advisor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2026-10-01T14:57:45.832Z</dcterms:created>
  <dcterms:modified xsi:type="dcterms:W3CDTF">2026-10-01T14:57:45.833Z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