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2026-09-28 · 955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9,029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growth accelerated (FY26 +81%), multiple compressed to ~33.5x fwd, radiology divestment now management-confirmed in-process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+8% only, wagon plant slipped to H2FY27, 2nd warrant dilution, stock re-rated to ~41x P/E; balance sheet still clean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Demerger overhang resolved (withdrawn), moat upgraded weak (from no) on evidenced entry barriers, order-book accelerating + broad promoter buying; still-unresolved cash deployment, new CFO departure.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519 Cr / ~591-bed Trichy+Bengaluru expansion approved - removes 'finite runway' concern. Held M-H: FY28-30 payoff, capex 2.5x net worth, ~40x P/E, 98% occupancy caps near-term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Propedge recovery confirmed + HDFC Capital stake; offset by ~16% blended ROE (cash drag), growth decel 37-&gt;21%, scope creep, AI in separate subsidiary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valuation (PE 24.3x reasonable vs 44pct ROCE); OCF exceeds PAT both years; debt declining; cleanest name this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1,505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growth stall: revenue +4% YoY, PAT -18%; Rs 500 Cr FY27 guidance unsupported by Rs 300 Cr order book; margins guided down; weak FY26 cash conversion (~51% of PAT)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revenue Rs504cr &gt; all FY26; order book Rs3,487cr vs Rs2,914cr mcap; ~15x trailing/~7x fwd P/E; 268 debtor days, promoter 28.7% &amp; falling, no dividend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 quality (rev +41%, PAT +44%, ~35% ROCE) but ~61x trailing P/E, no concalls, HEICO scope still narrow (calibration only); four_box 2.5, 10x kept via growth carve-out, conviction capped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Dual-shore US+India EMS; 8 straight sequential-growth quarters, box-build 60%, FY27 guide raised 26-30%, ROCE ~20-23%; fails 10x on size + premium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Pakka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2,071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live turnaround out of the MFI stress cycle - Q1 FY27 back to profit, AUM +36%, GNPA 3.8%-&gt;2.6%; ~11-15x forward. One quarter deep, politically sensitive sector, 10x a stretch.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Q4FY26 PAT +114%, OPM ~28-&gt;42% verified; three-engine execution excellent. thesis_fit neither on ~Rs 26k Cr / ~73x, but battery+semiconductor verticals flagged as structural inflection for max-returns ranking. Medium held.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12,114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revenue +78%, PAT +141%, first-ever positive operating cash flow (+Rs 30 Cr); debtor days 38-&gt;30-32; advance-gold mix exiting ~20%; gross debt still ~Rs 540 Cr; P/E ~36x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filings clean: OCF&gt;PAT, zero pledge, net cash, maiden dividend. Held flat - consol growth halved to 29%, core services +13%, margins normalising, stock -34%/yr.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same-day (2026-09-08) pass-1 deep_dive + all lens/guidance blocks; verified coherent, JSON valid, docx regenerated. No re-research done to avoid duplicating same-pass work.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ramp delivered: rev +60% to Rs154cr, PAT +90%. Solar-structure line added. Weak PEB pricing power, margins compressing ~9%-&gt;~6% quarterly. four_box 2.0, label kept via growth exception, capped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specialty mineral-excipient maker: ROCE ~35%, ROE ~28%, 27% net margin, ~31% growth, net cash. But ~70x earnings/~19x sales and ~Rs 13,000 Cr =&gt; 'neither' on size+valuation; quality name for max-returns watchlist. Battery-materials optionality early. X tip (@unseenvalue) informational.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Anupam Rasayan change of control at Rs 299/share resolves governance overhang; CEO/MD split; Q1 FY27 margin 26.75%; but stock ~Rs 671 (2x acquirer entry), ~53x trailing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regional eye-care operator (ROCE ~42%, ROE ~36%) but merging into parent DAHL at fixed 2:23 swap -- outcome pinned to parent, merger pending SEBI/NCLT; no multibagger math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Cash-conversion concern resolved (179% FY26 OCF/PAT) but debt +444% funding fleet pivot; FY27 growth guided down to 32-35%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now 4 quarters deep; Tata Capital refinance done (17.5%-&gt;12.5%), FY27 interest ~Rs400cr-&gt;~Rs288cr; ~99% promoter equity re-pledged to NCD trustee; sister-co Estonia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Mid-to-large-cap (~Rs 15,956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order book/growth but four_box 2.5, ~84x P/E already prices in most of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7,950-8,000 Cr, screener.in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(PAT +67.6% YoY Q1FY27) but valuation now ~127x P/E/32x P/B; WC cycle 255d,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761 Cr all-time high, but 60% concentrated in 2 contracts; FCF negative; down 17% in 2 weeks.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Coromandel FSA supplier chronically under-delivering since inception -&gt; Q1FY27 revenue -40% YoY; moat downgraded yes-&gt;weak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decelerated to +14% vs 27-34% prior; Consumer -24%; promoter stake exit same qtr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DISCOM electrical-infra O&amp;M/metering SME, ~77% recurring rev, FY26 PAT &gt;2x YoY, order book 3.5x, P/E 15; competitive-bid contracting, no listed history. four_box 2.0 + un-ignorable-evidence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Durable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Tungsten export-quota supercycle (China 2025 cuts) driving carbide tool prices +300% YoY per peer concall -- unconfirmed in Rapicut's own numbers yet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 (prior agent-16 run); verified consistent, regenerated docx, no re-research needed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ROCE/ROE but real FY26 launch-driven inflection tracked consistently by harsh.beria93 since 2022; H2FY26 margin recovery guided,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EV-transmission leader, FY26 rev +56% off small base, Indonesia 4WD export win (&gt;50% recurring) as catalyst. But ROCE ~10%/ROE ~8% below cost of capital, ~10x sales, no VP thread. X tip (@LearningEleven) informational only, no floor. Web-only 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Prizor Viztech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CCTV/surveillance SME already +254% 1yr (~16.9x P/B), fully priced in, no VP thread, commodity hardware category. four_box 0.5,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shell-pattern rename (ex-Radhey Trade Holding), promoter holding ~3.51%, -78% 1yr mcap collapse.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2026-09-28T16:17:26.927Z</dcterms:created>
  <dcterms:modified xsi:type="dcterms:W3CDTF">2026-09-28T16:17:26.930Z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