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MOIL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India's sole large manganese producer (50% share, debt-free) with confirmed Q1 FY27 margin inflection; 2-3yr global supply-squeeze window could drive earnings multibagger, but cyclical risk and quarter-one inflection unconfirmed cap conviction at Low-Medium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MOIL is India's largest manganese ore producer (~50% domestic market share, 11 operational mines across Maharashtra and Madhya Pradesh), a debt-free PSU serving the steel/ferro-alloy industry, with a Ferro Manganese plant adding downstream value.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Rs 5,145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</w:t>
            </w:r>
          </w:p>
        </w:tc>
        <w:tc>
          <w:tcPr>
            <w:tcW w:type="dxa" w:w="5800"/>
          </w:tcPr>
          <w:p>
            <w:r>
              <w:t xml:space="preserve">12.3% trailing 3-yr (forecast 17.4% in 3 years)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Recent quarter</w:t>
            </w:r>
          </w:p>
        </w:tc>
        <w:tc>
          <w:tcPr>
            <w:tcW w:type="dxa" w:w="5800"/>
          </w:tcPr>
          <w:p>
            <w:r>
              <w:t xml:space="preserve">Q1 FY27: PAT +70% YoY to Rs 87.62 Cr; revenue +7%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5-yr revenue growth</w:t>
            </w:r>
          </w:p>
        </w:tc>
        <w:tc>
          <w:tcPr>
            <w:tcW w:type="dxa" w:w="5800"/>
          </w:tcPr>
          <w:p>
            <w:r>
              <w:t xml:space="preserve">Weak, 4.67% (FY25 was 9.4%, above the 5-yr CAGR of 8.8%)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Rs 242.7 - 405.5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This is exactly the case this project's own rule flags: a weak trailing 3-5yr average (ROE 12.3%, 5-yr revenue growth just 4.67%) sits alongside a sharp, real recent-quarter inflection -- Q1FY27 PAT up 70% YoY on only 7% revenue growth, implying a genuine margin expansion, likely tied to the global manganese price squeeze the community flagged (South32's Gemco mine suspended by a cyclone through Q1-Q3 FY25, removing meaningful global supply and driving a 30-35% price hike that MOIL itself passed through, per a Jun 2024 community post).</w:t>
      </w:r>
    </w:p>
    <w:p>
      <w:pPr>
        <w:pStyle w:val="Heading1"/>
        <w:spacing w:after="120" w:before="280"/>
      </w:pPr>
      <w:r>
        <w:t xml:space="preserve">Deep-Dive: Primary Documents (Annual Reports, Quarterly Results, Exchange Filings)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Pass 1 — 2026-10-05. Built from the company's own filings (3 years of annual reports, ~4 quarters of results/concalls, and 6 months of BSE/NSE announcements), read via the web — a deeper layer than the forum-sentiment read below.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Sources reviewed this pass: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FY24/25/26 annual reports (Trendlyne) — market share, debt-free structure, capex plans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 results — production 5.08L MT (Q1 record), PAT +70% YoY, revenue +7%, prices up 17.5%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Recent market data — Argus Media (ferro-manganese weakness), PSU Connect (MOIL Oct 2026 price hike 5%), South32 impact on global supply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Annual-report findings (3-year view):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Debt-free PSU with 50% domestic manganese market share; 11 operational mines (stable asset base)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3-yr ROE 12.3% trailing; forecast 17.4% suggesting operational leverage from capex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5-yr revenue CAGR 4.67% (weak) masks Q1FY27 inflection: margin expansion from operational discipline + global pricing support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Quarterly trend (last ~4 quarters + concall commentary):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 (Jun 26): PAT Rs 87.62 Cr (+70% YoY from ~Rs 51.6 Cr), revenue Rs 370.88 Cr (+7% QoQ, +7% YoY)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Production Q1 FY27: 5.08L MT (Q1 record, up from prior Q1s). Sell-through held.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Prior 4 quarters: Steady revenue Rs 320-360 Cr range, but earnings were lower (margin pressure pre-Q1).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Exchange announcements (last 6 months):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MOIL raised prices 17.5% for April 2026 (manganese ore grades), 5% again for October 2026 — indicates firm demand + pricing power through Q1-Q3 FY27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Recent market data (Argus, Sep-Oct 2026): ferro-manganese prices have weakened 2-3% (Rs 71k-&gt;69.5k range) — caution flag on margin sustainability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Production ramp: Q1 FY27 record 5.08L MT; Aug-Sep FY27 production ~1.8L MT/mo (run-rate ~6L MT for full FY27, vs ~5L MT FY26)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Key new facts vs. the prior write-up: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 PAT inflection is real and confirmed: +70% on modest revenue growth (+7%) is genuine margin expansion, not revenue-driven profit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Global manganese supply squeeze is materially real: South32 Gemco mine disruption (since mid-FY25) has normalized supply; but no new major supply onstream yet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Domestic pricing power evident: MOIL able to raise prices 17.5% (Apr) + 5% (Oct) despite soft global steel backdrop — indicates strong local demand/market power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Open questions / what to watch: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Sustainability of Q1 margins: if ferro-manganese prices weaken further (Argus data shows Sep-Oct decline), will MOIL's Q2 FY27 margin hold at 23%+ or revert to 18-19%?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Cyclicality vs structural: is this a 1-2yr commodity up-cycle (steel capex cycle +3yr, but could reverse if India's construction cools), or is there structural EV/renewable demand lift?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Production ramp: Q1 record 5.08L MT; can 6L MT sustained full FY27, or will demand/price weakness force lower utilization?</w:t>
      </w:r>
    </w:p>
    <w:p>
      <w:pPr>
        <w:spacing w:after="120" w:before="120"/>
      </w:pPr>
      <w:r>
        <w:rPr>
          <w:b/>
          <w:bCs/>
          <w:sz w:val="20"/>
          <w:szCs w:val="20"/>
        </w:rPr>
        <w:t xml:space="preserve">Conviction impact: </w:t>
      </w:r>
      <w:r>
        <w:rPr>
          <w:sz w:val="20"/>
          <w:szCs w:val="20"/>
        </w:rPr>
        <w:t xml:space="preserve">Low -&gt; Low-Medium. Q1 PAT inflection is real and the catalyst (supply squeeze + pricing power) is credible 2-3 mo further. However, recent ferro-manganese price weakness (Sep-Oct) is a caution flag — earnings sustainability unconfirmed. Small-cap size + debt-free structure + market-share moat support upside if inflection holds. Conviction upgraded from Low to Low-Medium on real margin proof, but not Medium until Q2 results confirm.</w:t>
      </w:r>
    </w:p>
    <w:p>
      <w:pPr>
        <w:pStyle w:val="Heading1"/>
        <w:spacing w:after="120" w:before="280"/>
      </w:pPr>
      <w:r>
        <w:t xml:space="preserve">Guidance &amp; Expectation Gap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Management guidance decoded into commitments, graded on the expectation → action → operational → commercial → financial ladder, then compared to what the current price appears to assume. Method: playbook/guidance-and-expectation-gap.md.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Commitment ladder (most-proven first):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600"/>
        <w:gridCol w:w="2400"/>
        <w:gridCol w:w="900"/>
        <w:gridCol w:w="1200"/>
        <w:gridCol w:w="800"/>
      </w:tblGrid>
      <w:tr>
        <w:trPr>
          <w:tblHeader/>
        </w:trPr>
        <w:tc>
          <w:tcPr>
            <w:tcW w:type="dxa" w:w="11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Area</w:t>
            </w:r>
          </w:p>
        </w:tc>
        <w:tc>
          <w:tcPr>
            <w:tcW w:type="dxa" w:w="26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Commitment</w:t>
            </w:r>
          </w:p>
        </w:tc>
        <w:tc>
          <w:tcPr>
            <w:tcW w:type="dxa" w:w="24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Specifics</w:t>
            </w:r>
          </w:p>
        </w:tc>
        <w:tc>
          <w:tcPr>
            <w:tcW w:type="dxa" w:w="9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By when</w:t>
            </w:r>
          </w:p>
        </w:tc>
        <w:tc>
          <w:tcPr>
            <w:tcW w:type="dxa" w:w="12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Stage</w:t>
            </w:r>
          </w:p>
        </w:tc>
        <w:tc>
          <w:tcPr>
            <w:tcW w:type="dxa" w:w="8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Thesis-critical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orders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Strong domestic steel + EV-adjacent ferroalloy demand from CRGO/steel producers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PSU steel mills (SAIL, JSW, Tata) capex ongoing; EV-specific demand (battery manganese)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FY27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commercial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</w:tbl>
    <w:p>
      <w:pPr>
        <w:spacing w:after="60" w:before="120"/>
      </w:pPr>
      <w:r>
        <w:rPr>
          <w:b/>
          <w:bCs/>
          <w:sz w:val="20"/>
          <w:szCs w:val="20"/>
        </w:rPr>
        <w:t xml:space="preserve">Earnings chain: </w:t>
      </w:r>
      <w:r>
        <w:rPr>
          <w:b w:val="false"/>
          <w:bCs w:val="false"/>
          <w:sz w:val="20"/>
          <w:szCs w:val="20"/>
        </w:rPr>
        <w:t xml:space="preserve">Global manganese supply squeeze (South32 Gemco disruption, no alternate sources ramping)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Pricing power realized (MOIL raises prices 17.5% Apr, 5% Oct)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Production ramp (Q1 record 5.08L MT, run-rate 6L MT FY27)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Revenue growth + operating leverage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EBITDA/PAT expansion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Bottleneck link: Ferro-manganese pricing — if prices weaken further post-Oct, margins collapse fast.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Operating leverage: yes — 5.08L MT Q1 (Q1 record) + 17.5% price hike + cost discipline → PAT +70% on 7% revenue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Evidenced: Q1 PAT +70% on 7% revenue is real operating leverage, not noise; Pricing power demonstrated (twice raised prices in 6mo); Production ramp confirmed (5.08L MT Q1 record). Still assumed: Prices sustain at Oct 2026 levels (recent weakness is temporary); Domestic steel capex remains firm through FY27; MOIL cost structure remains stable (mining inflation not a factor).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Market expectation vs. our path: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 of</w:t>
            </w:r>
          </w:p>
        </w:tc>
        <w:tc>
          <w:tcPr>
            <w:tcW w:type="dxa" w:w="5800"/>
          </w:tcPr>
          <w:p>
            <w:r>
              <w:t xml:space="preserve">2026-10-05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 / multiple</w:t>
            </w:r>
          </w:p>
        </w:tc>
        <w:tc>
          <w:tcPr>
            <w:tcW w:type="dxa" w:w="5800"/>
          </w:tcPr>
          <w:p>
            <w:r>
              <w:t xml:space="preserve">—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Right valuation lens</w:t>
            </w:r>
          </w:p>
        </w:tc>
        <w:tc>
          <w:tcPr>
            <w:tcW w:type="dxa" w:w="5800"/>
          </w:tcPr>
          <w:p>
            <w:r>
              <w:t xml:space="preserve">P/E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 implies</w:t>
            </w:r>
          </w:p>
        </w:tc>
        <w:tc>
          <w:tcPr>
            <w:tcW w:type="dxa" w:w="5800"/>
          </w:tcPr>
          <w:p>
            <w:r>
              <w:t xml:space="preserve">FY26-27 earnings +50% (based on PAT inflection) needs 20-25x multiple to justify current price; 3-yr 15-20% CAGR implied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Our FY27</w:t>
            </w:r>
          </w:p>
        </w:tc>
        <w:tc>
          <w:tcPr>
            <w:tcW w:type="dxa" w:w="5800"/>
          </w:tcPr>
          <w:p>
            <w:r>
              <w:t xml:space="preserve">Revenue Rs 1,450-1,500 Cr (5.5L MT production at blended Rs 2,650/MT average); EBITDA margin 24% (robust but not unsustainable); PAT Rs 330-350 Cr (vs ~Rs 180 Cr FY26)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Our FY28</w:t>
            </w:r>
          </w:p>
        </w:tc>
        <w:tc>
          <w:tcPr>
            <w:tcW w:type="dxa" w:w="5800"/>
          </w:tcPr>
          <w:p>
            <w:r>
              <w:t xml:space="preserve">Revenue Rs 1,550-1,650 Cr (if prices stabilize, production holds 5.5-6L MT); EBITDA margin 22-23% (normalized post-squeeze); PAT Rs 310-340 Cr (stable, not growth)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direction</w:t>
            </w:r>
          </w:p>
        </w:tc>
        <w:tc>
          <w:tcPr>
            <w:tcW w:type="dxa" w:w="5800"/>
          </w:tcPr>
          <w:p>
            <w:r>
              <w:t xml:space="preserve">partially-priced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type</w:t>
            </w:r>
          </w:p>
        </w:tc>
        <w:tc>
          <w:tcPr>
            <w:tcW w:type="dxa" w:w="5800"/>
          </w:tcPr>
          <w:p>
            <w:r>
              <w:t xml:space="preserve">duration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magnitude</w:t>
            </w:r>
          </w:p>
        </w:tc>
        <w:tc>
          <w:tcPr>
            <w:tcW w:type="dxa" w:w="5800"/>
          </w:tcPr>
          <w:p>
            <w:r>
              <w:t xml:space="preserve">10% (our FY28 PAT vs implied)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basis</w:t>
            </w:r>
          </w:p>
        </w:tc>
        <w:tc>
          <w:tcPr>
            <w:tcW w:type="dxa" w:w="5800"/>
          </w:tcPr>
          <w:p>
            <w:r>
              <w:t xml:space="preserve">Market likely pricing in a 1-2 yr earnings inflection tied to manganese squeeze; we see this as +50% FY27 earnings possible, but margin plateau/revert by FY28 if prices weaken. Upside if squeeze persists 3+ years or if EV/renewable demand lifts manganese demand structurally (unproven).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Evidence quality</w:t>
            </w:r>
          </w:p>
        </w:tc>
        <w:tc>
          <w:tcPr>
            <w:tcW w:type="dxa" w:w="5800"/>
          </w:tcPr>
          <w:p>
            <w:r>
              <w:t xml:space="preserve">moderate</w:t>
            </w:r>
          </w:p>
        </w:tc>
      </w:tr>
    </w:tbl>
    <w:p>
      <w:pPr>
        <w:spacing w:after="120"/>
      </w:pPr>
      <w:r>
        <w:rPr>
          <w:i/>
          <w:iCs/>
          <w:color w:val="666666"/>
          <w:sz w:val="16"/>
          <w:szCs w:val="16"/>
        </w:rPr>
        <w:t xml:space="preserve">No analyst consensus; implied path based on FY27 run-rate, Q1 margin trends, recent Argus price data, and sector demand estimates</w:t>
      </w:r>
    </w:p>
    <w:p>
      <w:pPr>
        <w:spacing w:after="120" w:before="120"/>
      </w:pPr>
      <w:r>
        <w:rPr>
          <w:b/>
          <w:bCs/>
          <w:sz w:val="20"/>
          <w:szCs w:val="20"/>
        </w:rPr>
        <w:t xml:space="preserve">Catalyst: </w:t>
      </w:r>
      <w:r>
        <w:rPr>
          <w:sz w:val="20"/>
          <w:szCs w:val="20"/>
        </w:rPr>
        <w:t xml:space="preserve">Q2 FY27 results (Oct-Nov 2026): confirm if PAT margin holds at 23%+ or reverts to 18-19%</w:t>
      </w:r>
      <w:r>
        <w:rPr>
          <w:color w:val="666666"/>
          <w:sz w:val="18"/>
          <w:szCs w:val="18"/>
        </w:rPr>
        <w:t xml:space="preserve"> (window ~2M from 2026-10-05; dated; evidence high; pending)</w:t>
      </w:r>
    </w:p>
    <w:p>
      <w:pPr>
        <w:pStyle w:val="Heading1"/>
        <w:spacing w:after="120" w:before="280"/>
      </w:pPr>
      <w:r>
        <w:t xml:space="preserve">Ishmohit-Lens Checks (value chain · earnings quality · growth trajectory · management · quality metrics · track record · global-signal check)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Extra checks drawn from @ishmohit1 / SOIC methodology (playbook/ishmohit-soic-style.md): where the company sits in its value chain and what the supply side is doing, whether a margin/PAT inflection is structural or a cyclical peak, the rate-of-change of growth vs. what the multiple demands, and management quality as a positive attribute.</w:t>
      </w:r>
    </w:p>
    <w:p>
      <w:pPr>
        <w:spacing w:after="60" w:before="120"/>
      </w:pPr>
      <w:r>
        <w:rPr>
          <w:b/>
          <w:bCs/>
          <w:sz w:val="20"/>
          <w:szCs w:val="20"/>
        </w:rPr>
        <w:t xml:space="preserve">Earnings quality: </w:t>
      </w:r>
      <w:r>
        <w:rPr>
          <w:sz w:val="20"/>
          <w:szCs w:val="20"/>
        </w:rPr>
        <w:t xml:space="preserve">margin driver cyclical</w:t>
      </w:r>
      <w:r>
        <w:rPr>
          <w:b/>
          <w:bCs/>
          <w:color w:val="A32020"/>
          <w:sz w:val="20"/>
          <w:szCs w:val="20"/>
        </w:rPr>
        <w:t xml:space="preserve">  — PEAK-MARGIN RISK: do not capitalise current margins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Drivers: Manganese ore pricing (global supply-driven, cyclical); Production volume (mine utilization, influenced by demand); Cost discipline (PSU efficiency gains, FY27 focus).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Current Q1 EBITDA margin ~24% is well above a through-cycle 15-17% expectation. Driven by global supply squeeze (temporary 2-3yr window) + local pricing power (sustainable at 15%+ markup). Through-cycle expectation: 16-18% EBITDA margin post-squeeze normalization. Peak-margin risk is MODERATE: if ferro prices weaken another 5-10%, margins compress 200-300bps.</w:t>
      </w:r>
    </w:p>
    <w:p>
      <w:pPr>
        <w:spacing w:after="60" w:before="120"/>
      </w:pPr>
      <w:r>
        <w:rPr>
          <w:b/>
          <w:bCs/>
          <w:sz w:val="20"/>
          <w:szCs w:val="20"/>
        </w:rPr>
        <w:t xml:space="preserve">Growth trajectory: </w:t>
      </w:r>
      <w:r>
        <w:rPr>
          <w:b w:val="false"/>
          <w:bCs w:val="false"/>
          <w:sz w:val="20"/>
          <w:szCs w:val="20"/>
        </w:rPr>
        <w:t xml:space="preserve">YoY growth rate is accelerating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FY26 essentially flat; Q1 FY27 PAT +70% YoY is a sharp inflection off a weak base. Not a sustained multi-quarter trend yet.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Reverse P/E: 25x trailing P/E on ~Rs 88 Cr Q1 PAT annualized (Rs ~350 Cr FY27) needs growth to slow to 10-12% by FY28-29 to maintain; if PAT plateaus at Rs 330 Cr FY28, then 25x is expensive.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Management quality (TVGP's "P"):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Assessment</w:t>
            </w:r>
          </w:p>
        </w:tc>
        <w:tc>
          <w:tcPr>
            <w:tcW w:type="dxa" w:w="5800"/>
          </w:tcPr>
          <w:p>
            <w:r>
              <w:t xml:space="preserve">neutral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Capital allocation</w:t>
            </w:r>
          </w:p>
        </w:tc>
        <w:tc>
          <w:tcPr>
            <w:tcW w:type="dxa" w:w="5800"/>
          </w:tcPr>
          <w:p>
            <w:r>
              <w:t xml:space="preserve">PSU discipline: reinvested at 12-17% ROCE. No aggressive capex; cash returned as dividend (not reinvested for growth). Conservative capital-allocation stance. (neutral)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Related-party trend</w:t>
            </w:r>
          </w:p>
        </w:tc>
        <w:tc>
          <w:tcPr>
            <w:tcW w:type="dxa" w:w="5800"/>
          </w:tcPr>
          <w:p>
            <w:r>
              <w:t xml:space="preserve">flat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Guidance credibility</w:t>
            </w:r>
          </w:p>
        </w:tc>
        <w:tc>
          <w:tcPr>
            <w:tcW w:type="dxa" w:w="5800"/>
          </w:tcPr>
          <w:p>
            <w:r>
              <w:t xml:space="preserve">reliable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Shareholder returns</w:t>
            </w:r>
          </w:p>
        </w:tc>
        <w:tc>
          <w:tcPr>
            <w:tcW w:type="dxa" w:w="5800"/>
          </w:tcPr>
          <w:p>
            <w:r>
              <w:t xml:space="preserve">consistent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Capability ladder / VAP</w:t>
            </w:r>
          </w:p>
        </w:tc>
        <w:tc>
          <w:tcPr>
            <w:tcW w:type="dxa" w:w="5800"/>
          </w:tcPr>
          <w:p>
            <w:r>
              <w:t xml:space="preserve">No stated value-chain movement; operating margin leverage via cost discipline + pricing power is the only lever</w:t>
            </w:r>
          </w:p>
        </w:tc>
      </w:tr>
    </w:tbl>
    <w:p>
      <w:pPr>
        <w:spacing w:after="120"/>
      </w:pPr>
      <w:r>
        <w:rPr>
          <w:b/>
          <w:bCs/>
          <w:sz w:val="20"/>
          <w:szCs w:val="20"/>
        </w:rPr>
        <w:t xml:space="preserve">Quality metrics (ROCE · debt · FCF · margin · capex):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Assessment</w:t>
            </w:r>
          </w:p>
        </w:tc>
        <w:tc>
          <w:tcPr>
            <w:tcW w:type="dxa" w:w="5800"/>
          </w:tcPr>
          <w:p>
            <w:r>
              <w:t xml:space="preserve">positive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</w:t>
            </w:r>
          </w:p>
        </w:tc>
        <w:tc>
          <w:tcPr>
            <w:tcW w:type="dxa" w:w="5800"/>
          </w:tcPr>
          <w:p>
            <w:r>
              <w:t xml:space="preserve">14% (improving)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Leverage</w:t>
            </w:r>
          </w:p>
        </w:tc>
        <w:tc>
          <w:tcPr>
            <w:tcW w:type="dxa" w:w="5800"/>
          </w:tcPr>
          <w:p>
            <w:r>
              <w:t xml:space="preserve">Net debt/EBITDA -0.5x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FCF conversion</w:t>
            </w:r>
          </w:p>
        </w:tc>
        <w:tc>
          <w:tcPr>
            <w:tcW w:type="dxa" w:w="5800"/>
          </w:tcPr>
          <w:p>
            <w:r>
              <w:t xml:space="preserve">85%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Margin trend</w:t>
            </w:r>
          </w:p>
        </w:tc>
        <w:tc>
          <w:tcPr>
            <w:tcW w:type="dxa" w:w="5800"/>
          </w:tcPr>
          <w:p>
            <w:r>
              <w:t xml:space="preserve">expanding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Capex efficiency</w:t>
            </w:r>
          </w:p>
        </w:tc>
        <w:tc>
          <w:tcPr>
            <w:tcW w:type="dxa" w:w="5800"/>
          </w:tcPr>
          <w:p>
            <w:r>
              <w:t xml:space="preserve">neutral</w:t>
            </w:r>
          </w:p>
        </w:tc>
      </w:tr>
    </w:tbl>
    <w:p>
      <w:pPr>
        <w:spacing w:after="60" w:before="120"/>
      </w:pPr>
      <w:r>
        <w:rPr>
          <w:b/>
          <w:bCs/>
          <w:sz w:val="20"/>
          <w:szCs w:val="20"/>
        </w:rPr>
        <w:t xml:space="preserve">Track record (Coffee Can persistence check): </w:t>
      </w:r>
      <w:r>
        <w:rPr>
          <w:sz w:val="20"/>
          <w:szCs w:val="20"/>
        </w:rPr>
        <w:t xml:space="preserve">cleared revenue growth ≥10% AND ROCE ≥15% in 0 of the last 3 years (consistency_score 0)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FY26: Revenue growth 4.67% (below 10%), ROCE 14% (below 15%). FY25: Revenue flat, ROCE weak. FY24: Revenue growth barely positive. No consistent Coffee-Can performance in last 3 years. However, Q1 FY27 inflection (if sustained) could mark entry into a 2-3yr high-ROCE window.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pulled this pass.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Read the full 28-post thread (2010-2025) -- a long-running but currently thin/stale thread (only one post since mid-2024, from ranvir in Dec 2025). Historical debate has repeatedly centered on whether MOIL is a 'value trap' commodity play (large cash balance relative to market cap flagged as far back as 2019) versus a genuine long-term beneficiary of steel/EV-driven manganese demand growth -- unresolved either way in-thread, and the community has not yet caught up with the Q1FY27 inflection at all.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ranvir (elevated, the sourcing trusted user) posted detailed annual-report notes (Dec 2025) describing MOIL's ~50% domestic market share and multi-mine infrastructure, in a tracking/informational tone rather than a high-conviction call. No community discussion yet exists of the Q1FY27 profit inflection -- this is an unconfirmed, ahead-of-the-community read based on fundamentals alone.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Not independently checked this pass. Historically debt-free with a large cash balance relative to market cap (flagged as a value characteristic since 2019).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India's largest manganese producer (~50% share) with a debt-free balance sheet and a large cash cushion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real, quantified Q1FY27 profit inflection (PAT +70% YoY) on modest revenue growth, suggesting genuine margin expansion rather than one-off noise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genuine global supply catalyst (South32's Gemco disruption) has already driven realized price increases MOIL passed through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Small-cap size (Rs 5,145 Cr) leaves real room for a multibagger outcome if the inflection sustains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Q1FY27 inflection is unconfirmed by the community -- this thread has not caught up with it at all, so there is no independent validation yet, only screener-level data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5-year revenue growth (4.67%) has been genuinely weak, and manganese is a classic cyclical commodity where price-driven margin spikes can reverse as fast as they appeared (as seen with silver at Hindustan Zinc this same batch)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community has debated a 'value trap' framing for this stock since at least 2019 without resolution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Small-cap (~Rs 5,145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10x-in-2-3-years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yes · TAM: weak · moat: yes · valuation: weak  (score 3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tailwind: 2-3yr global manganese supply squeeze (South32 Gemco disruption) is real + domestic steel/EV demand support = yes. moat: 50% domestic market share, 11 operational mines, PSU backing, sole large Indian producer = yes. tam: manganese TAM is modest even with EV uptake; no structural TAM expansion = weak. valuation: 25x on FY27E earnings, likely priced in partial cycle = weak. score 3.0 clears bar for 10x thesis; conviction held at Low-Medium due to 1-quarter inflection + cyclicality.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A real, quantified recent-quarter profit inflection at a debt-free small-cap manganese leader, but still unconfirmed by the community and commodity-cyclical by nature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This is a textbook case for the project's own inflection rule: weak trailing averages should not hide a real, specific recent-quarter improvement (Q1FY27 PAT +70%) backed by a credible catalyst (global manganese supply squeeze)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red flag; debt-free PSU with a large cash cushion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Conviction kept Low given the inflection is genuinely unconfirmed -- no community discussion of it exists yet, and manganese/steel-linked commodity earnings can reverse quickly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2026-10-05T14:22:12.835Z</dcterms:created>
  <dcterms:modified xsi:type="dcterms:W3CDTF">2026-10-05T14:22:12.839Z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