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2026-09-28 · 955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High-risk/high-return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Demerger overhang resolved (withdrawn), moat upgraded weak (from no) on evidenced entry barriers, order-book accelerating + broad promoter buying; still-unresolved cash deployment, new CFO departure.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7,950-8,000 Cr, screener.in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(PAT +67.6% YoY Q1FY27) but valuation now ~127x P/E/32x P/B; WC cycle 255d,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Pakka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Durable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2026-09-28T17:13:16.919Z</dcterms:created>
  <dcterms:modified xsi:type="dcterms:W3CDTF">2026-09-28T17:13:16.924Z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