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Deepa Jewellers Ltd</w:t>
      </w:r>
    </w:p>
    <w:p>
      <w:pPr>
        <w:pBdr>
          <w:bottom w:val="single" w:color="CCCCCC" w:sz="6" w:space="8"/>
        </w:pBdr>
        <w:spacing w:after="200"/>
      </w:pPr>
      <w:r>
        <w:rPr>
          <w:i/>
          <w:iCs/>
          <w:color w:val="666666"/>
          <w:sz w:val="22"/>
          <w:szCs w:val="22"/>
        </w:rPr>
        <w:t xml:space="preserve">Newly-listed (Sept 2026) Hyderabad-based B2B gold jewellery supplier to South-India retail chains, with exceptional headline ratios (56% ROE, 52% ROCE, 38% revenue growth) - this pass confirms a clean compliance record (no litigation, no auditor concerns) but quantifies a real supplier-concentration risk (top 10 karigars/suppliers = 91.81% of purchases) and thin operating margin (8% OPM), with a company-disclosed in-house manufacturing facility underway to address exactly that dependency.</w:t>
      </w:r>
    </w:p>
    <w:p>
      <w:pPr>
        <w:pStyle w:val="Heading1"/>
        <w:spacing w:after="120" w:before="280"/>
      </w:pPr>
      <w:r>
        <w:t xml:space="preserve">Business Overview</w:t>
      </w:r>
    </w:p>
    <w:p>
      <w:pPr>
        <w:spacing w:after="120"/>
      </w:pPr>
      <w:r>
        <w:t xml:space="preserve">Deepa Jewellers Limited (incorporated 2016, converted to a public company Sept 2025) is an organised B2B designer, processor and supplier of hallmarked gold jewellery, based in Hyderabad, serving jewellery retail chains and standalone stores exclusively across South India (no direct-to-consumer sales). Promoters Ashish Agarwal, Seema Agarwal and Dev Agarwal have 24+ years in gems and jewellery. The company sources gold/silver via RBI-registered banks, bullion dealers and the India International Bullion Exchange (IIBX), then supplies raw materials to a network of 41 third-party karigars (artisans) who process and return finished, hallmarked ornaments - an outsourced manufacturing model. IPO listed NSE/BSE Sept 8, 2026 at ~25% premium to its Rs 177 issue price; net fresh-issue proceeds (~Rs 250 Cr) are earmarked ~Rs 215 Cr for long-term working capital (inventory scaling) and the balance for general corporate purposes. Seeded 2026-09-13 via untrusted X triage (@JakeraChoudhury, bullish, very-high conviction).</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1,651 Cr (price ~Rs 172)</w:t>
            </w:r>
          </w:p>
        </w:tc>
      </w:tr>
      <w:tr>
        <w:tc>
          <w:tcPr>
            <w:tcW w:type="dxa" w:w="3200"/>
            <w:shd w:fill="F2F2F2" w:val="clear"/>
          </w:tcPr>
          <w:p>
            <w:r>
              <w:rPr>
                <w:b/>
                <w:bCs/>
              </w:rPr>
              <w:t xml:space="preserve">Stock P/E</w:t>
            </w:r>
          </w:p>
        </w:tc>
        <w:tc>
          <w:tcPr>
            <w:tcW w:type="dxa" w:w="5800"/>
          </w:tcPr>
          <w:p>
            <w:r>
              <w:t xml:space="preserve">~15.8x trailing</w:t>
            </w:r>
          </w:p>
        </w:tc>
      </w:tr>
      <w:tr>
        <w:tc>
          <w:tcPr>
            <w:tcW w:type="dxa" w:w="3200"/>
            <w:shd w:fill="F2F2F2" w:val="clear"/>
          </w:tcPr>
          <w:p>
            <w:r>
              <w:rPr>
                <w:b/>
                <w:bCs/>
              </w:rPr>
              <w:t xml:space="preserve">ROE / ROCE</w:t>
            </w:r>
          </w:p>
        </w:tc>
        <w:tc>
          <w:tcPr>
            <w:tcW w:type="dxa" w:w="5800"/>
          </w:tcPr>
          <w:p>
            <w:r>
              <w:t xml:space="preserve">ROE 56.4% (last year), 45% (3-yr avg); ROCE 51.6%</w:t>
            </w:r>
          </w:p>
        </w:tc>
      </w:tr>
      <w:tr>
        <w:tc>
          <w:tcPr>
            <w:tcW w:type="dxa" w:w="3200"/>
            <w:shd w:fill="F2F2F2" w:val="clear"/>
          </w:tcPr>
          <w:p>
            <w:r>
              <w:rPr>
                <w:b/>
                <w:bCs/>
              </w:rPr>
              <w:t xml:space="preserve">Operating margin</w:t>
            </w:r>
          </w:p>
        </w:tc>
        <w:tc>
          <w:tcPr>
            <w:tcW w:type="dxa" w:w="5800"/>
          </w:tcPr>
          <w:p>
            <w:r>
              <w:t xml:space="preserve">OPM (FY26) only ~8% - thin, typical for bullion-linked B2B jewellery trading</w:t>
            </w:r>
          </w:p>
        </w:tc>
      </w:tr>
      <w:tr>
        <w:tc>
          <w:tcPr>
            <w:tcW w:type="dxa" w:w="3200"/>
            <w:shd w:fill="F2F2F2" w:val="clear"/>
          </w:tcPr>
          <w:p>
            <w:r>
              <w:rPr>
                <w:b/>
                <w:bCs/>
              </w:rPr>
              <w:t xml:space="preserve">Revenue (FY24/25/26)</w:t>
            </w:r>
          </w:p>
        </w:tc>
        <w:tc>
          <w:tcPr>
            <w:tcW w:type="dxa" w:w="5800"/>
          </w:tcPr>
          <w:p>
            <w:r>
              <w:t xml:space="preserve">Rs 1,025 Cr -&gt; Rs 1,397 Cr (+36%) -&gt; Rs 1,927 Cr (+38%) - consistent, accelerating growth</w:t>
            </w:r>
          </w:p>
        </w:tc>
      </w:tr>
      <w:tr>
        <w:tc>
          <w:tcPr>
            <w:tcW w:type="dxa" w:w="3200"/>
            <w:shd w:fill="F2F2F2" w:val="clear"/>
          </w:tcPr>
          <w:p>
            <w:r>
              <w:rPr>
                <w:b/>
                <w:bCs/>
              </w:rPr>
              <w:t xml:space="preserve">Net profit (FY24/25/26)</w:t>
            </w:r>
          </w:p>
        </w:tc>
        <w:tc>
          <w:tcPr>
            <w:tcW w:type="dxa" w:w="5800"/>
          </w:tcPr>
          <w:p>
            <w:r>
              <w:t xml:space="preserve">Rs 24 Cr -&gt; Rs 41 Cr -&gt; Rs 105 Cr (+~156% FY26)</w:t>
            </w:r>
          </w:p>
        </w:tc>
      </w:tr>
      <w:tr>
        <w:tc>
          <w:tcPr>
            <w:tcW w:type="dxa" w:w="3200"/>
            <w:shd w:fill="F2F2F2" w:val="clear"/>
          </w:tcPr>
          <w:p>
            <w:r>
              <w:rPr>
                <w:b/>
                <w:bCs/>
              </w:rPr>
              <w:t xml:space="preserve">Debt</w:t>
            </w:r>
          </w:p>
        </w:tc>
        <w:tc>
          <w:tcPr>
            <w:tcW w:type="dxa" w:w="5800"/>
          </w:tcPr>
          <w:p>
            <w:r>
              <w:t xml:space="preserve">Borrowings Rs 81 Cr (FY25) -&gt; Rs 117 Cr (FY26), funding working-capital/inventory growth; D/E ~0.47</w:t>
            </w:r>
          </w:p>
        </w:tc>
      </w:tr>
      <w:tr>
        <w:tc>
          <w:tcPr>
            <w:tcW w:type="dxa" w:w="3200"/>
            <w:shd w:fill="F2F2F2" w:val="clear"/>
          </w:tcPr>
          <w:p>
            <w:r>
              <w:rPr>
                <w:b/>
                <w:bCs/>
              </w:rPr>
              <w:t xml:space="preserve">Cash flow (FY26)</w:t>
            </w:r>
          </w:p>
        </w:tc>
        <w:tc>
          <w:tcPr>
            <w:tcW w:type="dxa" w:w="5800"/>
          </w:tcPr>
          <w:p>
            <w:r>
              <w:t xml:space="preserve">Operating cash flow -Rs 15 Cr; free cash flow -Rs 19 Cr - negative, typical for a fast-growing bullion-trading business building gold inventory (a monetisable asset, not sunk WIP)</w:t>
            </w:r>
          </w:p>
        </w:tc>
      </w:tr>
      <w:tr>
        <w:tc>
          <w:tcPr>
            <w:tcW w:type="dxa" w:w="3200"/>
            <w:shd w:fill="F2F2F2" w:val="clear"/>
          </w:tcPr>
          <w:p>
            <w:r>
              <w:rPr>
                <w:b/>
                <w:bCs/>
              </w:rPr>
              <w:t xml:space="preserve">Supplier concentration</w:t>
            </w:r>
          </w:p>
        </w:tc>
        <w:tc>
          <w:tcPr>
            <w:tcW w:type="dxa" w:w="5800"/>
          </w:tcPr>
          <w:p>
            <w:r>
              <w:t xml:space="preserve">Top 10 karigars/suppliers = 91.81% of purchases - a real, quantified single-point-of-failure in the outsourced manufacturing model</w:t>
            </w:r>
          </w:p>
        </w:tc>
      </w:tr>
      <w:tr>
        <w:tc>
          <w:tcPr>
            <w:tcW w:type="dxa" w:w="3200"/>
            <w:shd w:fill="F2F2F2" w:val="clear"/>
          </w:tcPr>
          <w:p>
            <w:r>
              <w:rPr>
                <w:b/>
                <w:bCs/>
              </w:rPr>
              <w:t xml:space="preserve">Promoter holding</w:t>
            </w:r>
          </w:p>
        </w:tc>
        <w:tc>
          <w:tcPr>
            <w:tcW w:type="dxa" w:w="5800"/>
          </w:tcPr>
          <w:p>
            <w:r>
              <w:t xml:space="preserve">72.98% (post-IPO); public 16.23%, DIIs 8.05%, FIIs 2.73%</w:t>
            </w:r>
          </w:p>
        </w:tc>
      </w:tr>
    </w:tbl>
    <w:p>
      <w:pPr>
        <w:spacing w:after="100"/>
      </w:pPr>
    </w:p>
    <w:p>
      <w:pPr>
        <w:spacing w:after="120"/>
      </w:pPr>
      <w:r>
        <w:t xml:space="preserve">This deep-dive pass largely confirms and quantifies the risks the original write-up flagged qualitatively, without surfacing any new red flag: the DRHP and post-listing disclosures show no litigation pending against the company, its promoters, directors, KMPs or senior management, and no auditor qualifications/reservations/adverse remarks (auditor: NSVR &amp; Associates LLP) - a clean compliance record. The 'no demonstrated moat, commodity-like B2B trading' caution from the original pass is now quantified concretely: the top 10 of the company's 41 karigars/suppliers account for 91.81% of purchases, a real concentration risk in an outsourced-manufacturing model where the company itself doesn't directly control production. Operating margin is thin (8% OPM FY26), consistent with bullion-trading economics where gold cost dominates COGS. FY26 operating and free cash flow were both negative (-Rs 15 Cr and -Rs 19 Cr) as the business scaled inventory and borrowings rose (Rs 81 Cr -&gt; Rs 117 Cr) - a real cash outflow, though less concerning than in other sectors given gold inventory itself carries monetisable/collateral value rather than being sunk work-in-progress. Constructively, the company is already addressing the karigar-concentration risk: an in-house manufacturing facility in Hyderabad (6,696 sq ft, with 3D wax printers, vacuum pressure casting machines and induction melting furnaces) is under construction, expected operational around H1 FY27/Sept 2026 (sources vary on the exact date), explicitly aimed at reducing third-party dependency, improving quality control and margin, and cutting pilferage risk.</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2026-09-16.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(ROCE/ROE, debt, operating/free cash flow, annual sales/PAT FY24-26, promoter shareholding)</w:t>
      </w:r>
    </w:p>
    <w:p>
      <w:pPr>
        <w:pStyle w:val="ListParagraph"/>
        <w:numPr>
          <w:ilvl w:val="0"/>
          <w:numId w:val="1"/>
        </w:numPr>
        <w:spacing w:after="60"/>
      </w:pPr>
      <w:r>
        <w:t xml:space="preserve">DRHP/IPO-note aggregators (Sushil Finance, ipocentral.in, equityresearchindia.com) - promoter background, business model, litigation/auditor disclosures, use-of-proceeds</w:t>
      </w:r>
    </w:p>
    <w:p>
      <w:pPr>
        <w:pStyle w:val="ListParagraph"/>
        <w:numPr>
          <w:ilvl w:val="0"/>
          <w:numId w:val="1"/>
        </w:numPr>
        <w:spacing w:after="60"/>
      </w:pPr>
      <w:r>
        <w:t xml:space="preserve">whalesbook.com and other coverage of the in-house manufacturing facility plan</w:t>
      </w:r>
    </w:p>
    <w:p>
      <w:pPr>
        <w:pStyle w:val="ListParagraph"/>
        <w:numPr>
          <w:ilvl w:val="0"/>
          <w:numId w:val="1"/>
        </w:numPr>
        <w:spacing w:after="60"/>
      </w:pPr>
      <w:r>
        <w:t xml:space="preserve">ValuePickr forum search (re-confirmed: no thread exists for this name)</w:t>
      </w:r>
    </w:p>
    <w:p>
      <w:pPr>
        <w:spacing w:after="120"/>
      </w:pPr>
      <w:r>
        <w:rPr>
          <w:b/>
          <w:bCs/>
          <w:sz w:val="20"/>
          <w:szCs w:val="20"/>
        </w:rPr>
        <w:t xml:space="preserve">Annual-report findings (3-year view):</w:t>
      </w:r>
    </w:p>
    <w:p>
      <w:pPr>
        <w:pStyle w:val="ListParagraph"/>
        <w:numPr>
          <w:ilvl w:val="0"/>
          <w:numId w:val="1"/>
        </w:numPr>
        <w:spacing w:after="60"/>
      </w:pPr>
      <w:r>
        <w:t xml:space="preserve">Revenue: FY24 Rs 1,025 Cr -&gt; FY25 Rs 1,397 Cr (+36%) -&gt; FY26 Rs 1,927 Cr (+38%); PAT Rs 24 Cr -&gt; Rs 41 Cr -&gt; Rs 105 Cr (+~156% FY26).</w:t>
      </w:r>
    </w:p>
    <w:p>
      <w:pPr>
        <w:pStyle w:val="ListParagraph"/>
        <w:numPr>
          <w:ilvl w:val="0"/>
          <w:numId w:val="1"/>
        </w:numPr>
        <w:spacing w:after="60"/>
      </w:pPr>
      <w:r>
        <w:t xml:space="preserve">OPM (FY26) only ~8% - thin, consistent with bullion-trading economics.</w:t>
      </w:r>
    </w:p>
    <w:p>
      <w:pPr>
        <w:pStyle w:val="ListParagraph"/>
        <w:numPr>
          <w:ilvl w:val="0"/>
          <w:numId w:val="1"/>
        </w:numPr>
        <w:spacing w:after="60"/>
      </w:pPr>
      <w:r>
        <w:t xml:space="preserve">Borrowings rose Rs 81 Cr (FY25) -&gt; Rs 117 Cr (FY26); FY26 operating cash flow -Rs 15 Cr, free cash flow -Rs 19 Cr - negative but linked to inventory (gold stock) growth, a monetisable asset.</w:t>
      </w:r>
    </w:p>
    <w:p>
      <w:pPr>
        <w:pStyle w:val="ListParagraph"/>
        <w:numPr>
          <w:ilvl w:val="0"/>
          <w:numId w:val="1"/>
        </w:numPr>
        <w:spacing w:after="60"/>
      </w:pPr>
      <w:r>
        <w:t xml:space="preserve">Top 10 of 41 karigars/suppliers account for 91.81% of purchases - a disclosed, quantified DRHP risk factor.</w:t>
      </w:r>
    </w:p>
    <w:p>
      <w:pPr>
        <w:pStyle w:val="ListParagraph"/>
        <w:numPr>
          <w:ilvl w:val="0"/>
          <w:numId w:val="1"/>
        </w:numPr>
        <w:spacing w:after="60"/>
      </w:pPr>
      <w:r>
        <w:t xml:space="preserve">No litigation pending against the company, promoters, directors, KMPs or senior management; no auditor qualifications/reservations/adverse remarks (NSVR &amp; Associates LLP).</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No post-listing quarterly results yet available (listed Sept 8, 2026) - only annual FY24-26 figures from the DRHP/prospectus reviewed this pass.</w:t>
      </w:r>
    </w:p>
    <w:p>
      <w:pPr>
        <w:spacing w:after="120"/>
      </w:pPr>
      <w:r>
        <w:rPr>
          <w:b/>
          <w:bCs/>
          <w:sz w:val="20"/>
          <w:szCs w:val="20"/>
        </w:rPr>
        <w:t xml:space="preserve">Exchange announcements (last 6 months):</w:t>
      </w:r>
    </w:p>
    <w:p>
      <w:pPr>
        <w:pStyle w:val="ListParagraph"/>
        <w:numPr>
          <w:ilvl w:val="0"/>
          <w:numId w:val="1"/>
        </w:numPr>
        <w:spacing w:after="60"/>
      </w:pPr>
      <w:r>
        <w:t xml:space="preserve">IPO listed Sept 8, 2026 at ~25% premium to the Rs 177 issue price; IPO was subscribed 42.61x.</w:t>
      </w:r>
    </w:p>
    <w:p>
      <w:pPr>
        <w:pStyle w:val="ListParagraph"/>
        <w:numPr>
          <w:ilvl w:val="0"/>
          <w:numId w:val="1"/>
        </w:numPr>
        <w:spacing w:after="60"/>
      </w:pPr>
      <w:r>
        <w:t xml:space="preserve">In-house manufacturing facility (Hyderabad, 6,696 sq ft) under construction, targeted operational H1 FY27/around Sept 2026 (sources vary).</w:t>
      </w:r>
    </w:p>
    <w:p>
      <w:pPr>
        <w:spacing w:after="120"/>
      </w:pPr>
      <w:r>
        <w:rPr>
          <w:b/>
          <w:bCs/>
          <w:sz w:val="20"/>
          <w:szCs w:val="20"/>
        </w:rPr>
        <w:t xml:space="preserve">Key new facts vs. the prior write-up:</w:t>
      </w:r>
    </w:p>
    <w:p>
      <w:pPr>
        <w:pStyle w:val="ListParagraph"/>
        <w:numPr>
          <w:ilvl w:val="0"/>
          <w:numId w:val="1"/>
        </w:numPr>
        <w:spacing w:after="60"/>
      </w:pPr>
      <w:r>
        <w:t xml:space="preserve">CONFIRMED clean compliance: no litigation, no auditor concerns, no promoter pledge found in DRHP/post-listing disclosures - directly verifies the original pass's 'no red flags found' assessment.</w:t>
      </w:r>
    </w:p>
    <w:p>
      <w:pPr>
        <w:pStyle w:val="ListParagraph"/>
        <w:numPr>
          <w:ilvl w:val="0"/>
          <w:numId w:val="1"/>
        </w:numPr>
        <w:spacing w:after="60"/>
      </w:pPr>
      <w:r>
        <w:t xml:space="preserve">QUANTIFIED: karigar/supplier concentration is severe (91.81% via top 10 of 41) - the original pass's 'no demonstrated moat' caution now has a concrete number behind it.</w:t>
      </w:r>
    </w:p>
    <w:p>
      <w:pPr>
        <w:pStyle w:val="ListParagraph"/>
        <w:numPr>
          <w:ilvl w:val="0"/>
          <w:numId w:val="1"/>
        </w:numPr>
        <w:spacing w:after="60"/>
      </w:pPr>
      <w:r>
        <w:t xml:space="preserve">NEW (positive): the company is already building an in-house manufacturing facility specifically to address this concentration risk, with advanced equipment (3D wax printers, vacuum casting, induction furnaces) - a genuine, proactive mitigation step.</w:t>
      </w:r>
    </w:p>
    <w:p>
      <w:pPr>
        <w:pStyle w:val="ListParagraph"/>
        <w:numPr>
          <w:ilvl w:val="0"/>
          <w:numId w:val="1"/>
        </w:numPr>
        <w:spacing w:after="60"/>
      </w:pPr>
      <w:r>
        <w:t xml:space="preserve">NEW: OPM is thin (8%) and FY26 cash flow was negative (-Rs 15 Cr OCF) - not previously quantified, though judged as sector-typical rather than alarming given gold inventory's monetisable nature.</w:t>
      </w:r>
    </w:p>
    <w:p>
      <w:pPr>
        <w:spacing w:after="120"/>
      </w:pPr>
      <w:r>
        <w:rPr>
          <w:b/>
          <w:bCs/>
          <w:sz w:val="20"/>
          <w:szCs w:val="20"/>
        </w:rPr>
        <w:t xml:space="preserve">Open questions / what to watch:</w:t>
      </w:r>
    </w:p>
    <w:p>
      <w:pPr>
        <w:pStyle w:val="ListParagraph"/>
        <w:numPr>
          <w:ilvl w:val="0"/>
          <w:numId w:val="1"/>
        </w:numPr>
        <w:spacing w:after="60"/>
      </w:pPr>
      <w:r>
        <w:t xml:space="preserve">Exact commissioning date and ramp-up timeline for the in-house facility - sources gave conflicting target dates (Sept 2026 vs H1 FY27).</w:t>
      </w:r>
    </w:p>
    <w:p>
      <w:pPr>
        <w:pStyle w:val="ListParagraph"/>
        <w:numPr>
          <w:ilvl w:val="0"/>
          <w:numId w:val="1"/>
        </w:numPr>
        <w:spacing w:after="60"/>
      </w:pPr>
      <w:r>
        <w:t xml:space="preserve">Whether the karigar-concentration risk meaningfully reduces once in-house manufacturing scales, or whether the top-10 karigars remain structurally necessary for capacity reasons.</w:t>
      </w:r>
    </w:p>
    <w:p>
      <w:pPr>
        <w:pStyle w:val="ListParagraph"/>
        <w:numPr>
          <w:ilvl w:val="0"/>
          <w:numId w:val="1"/>
        </w:numPr>
        <w:spacing w:after="60"/>
      </w:pPr>
      <w:r>
        <w:t xml:space="preserve">Whether the negative FY26 operating cash flow trend continues into FY27 as the business keeps scaling, or stabilises.</w:t>
      </w:r>
    </w:p>
    <w:p>
      <w:pPr>
        <w:pStyle w:val="ListParagraph"/>
        <w:numPr>
          <w:ilvl w:val="0"/>
          <w:numId w:val="1"/>
        </w:numPr>
        <w:spacing w:after="60"/>
      </w:pPr>
      <w:r>
        <w:t xml:space="preserve">No post-listing quarterly disclosure exists yet (only 8 days of trading) - the first post-IPO quarter is the key data point to check next pass.</w:t>
      </w:r>
    </w:p>
    <w:p>
      <w:pPr>
        <w:spacing w:after="120" w:before="120"/>
      </w:pPr>
      <w:r>
        <w:rPr>
          <w:b/>
          <w:bCs/>
          <w:sz w:val="20"/>
          <w:szCs w:val="20"/>
        </w:rPr>
        <w:t xml:space="preserve">Conviction impact: </w:t>
      </w:r>
      <w:r>
        <w:rPr>
          <w:sz w:val="20"/>
          <w:szCs w:val="20"/>
        </w:rPr>
        <w:t xml:space="preserve">Medium -&gt; Medium (reaffirmed, unchanged). This pass found no new red flags - compliance is confirmed clean - and largely quantifies risks the original pass already flagged qualitatively (supplier concentration, thin margin, working-capital intensity) rather than surfacing anything newly alarming. The in-house manufacturing facility underway is a genuine positive development. Conviction is neither upgraded nor downgraded given the track record remains too short (~8 days of trading) to meaningfully move the needle in either direction.</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In-house manufacturing facility, Hyderabad</w:t>
            </w:r>
          </w:p>
        </w:tc>
        <w:tc>
          <w:tcPr>
            <w:tcW w:type="dxa" w:w="2400"/>
          </w:tcPr>
          <w:p>
            <w:r>
              <w:rPr>
                <w:b w:val="false"/>
                <w:bCs w:val="false"/>
                <w:sz w:val="18"/>
                <w:szCs w:val="18"/>
              </w:rPr>
              <w:t xml:space="preserve">6,696 sq ft, 3D wax printers, vacuum pressure casting machines, induction melting furnaces; targeted operational H1 FY27/around Sept 2026 (sources vary)</w:t>
            </w:r>
          </w:p>
        </w:tc>
        <w:tc>
          <w:tcPr>
            <w:tcW w:type="dxa" w:w="900"/>
          </w:tcPr>
          <w:p>
            <w:r>
              <w:rPr>
                <w:b w:val="false"/>
                <w:bCs w:val="false"/>
                <w:sz w:val="18"/>
                <w:szCs w:val="18"/>
              </w:rPr>
              <w:t xml:space="preserve">6M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Supplier/karigar concentration risk</w:t>
            </w:r>
          </w:p>
        </w:tc>
        <w:tc>
          <w:tcPr>
            <w:tcW w:type="dxa" w:w="2400"/>
          </w:tcPr>
          <w:p>
            <w:r>
              <w:rPr>
                <w:b w:val="false"/>
                <w:bCs w:val="false"/>
                <w:sz w:val="18"/>
                <w:szCs w:val="18"/>
              </w:rPr>
              <w:t xml:space="preserve">Top 10 of 41 karigars account for 91.81% of purchases - a disclosed DRHP risk factor</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bl>
    <w:p>
      <w:pPr>
        <w:spacing w:after="60" w:before="120"/>
      </w:pPr>
      <w:r>
        <w:rPr>
          <w:b/>
          <w:bCs/>
          <w:sz w:val="20"/>
          <w:szCs w:val="20"/>
        </w:rPr>
        <w:t xml:space="preserve">Earnings chain: </w:t>
      </w:r>
      <w:r>
        <w:rPr>
          <w:b w:val="false"/>
          <w:bCs w:val="false"/>
          <w:sz w:val="20"/>
          <w:szCs w:val="20"/>
        </w:rPr>
        <w:t xml:space="preserve">Organised-retail/hallmarking tailwind + South-India retail-chain customer relationships</w:t>
      </w:r>
      <w:r>
        <w:rPr>
          <w:color w:val="666666"/>
          <w:sz w:val="20"/>
          <w:szCs w:val="20"/>
        </w:rPr>
        <w:t xml:space="preserve"> → </w:t>
      </w:r>
      <w:r>
        <w:rPr>
          <w:b w:val="false"/>
          <w:bCs w:val="false"/>
          <w:sz w:val="20"/>
          <w:szCs w:val="20"/>
        </w:rPr>
        <w:t xml:space="preserve">Gold/silver procurement (banks, bullion dealers, IIBX) + karigar processing network</w:t>
      </w:r>
      <w:r>
        <w:rPr>
          <w:color w:val="666666"/>
          <w:sz w:val="20"/>
          <w:szCs w:val="20"/>
        </w:rPr>
        <w:t xml:space="preserve"> → </w:t>
      </w:r>
      <w:r>
        <w:rPr>
          <w:b w:val="false"/>
          <w:bCs w:val="false"/>
          <w:sz w:val="20"/>
          <w:szCs w:val="20"/>
        </w:rPr>
        <w:t xml:space="preserve">Revenue growth (FY24-26 consistent 36-38%)</w:t>
      </w:r>
      <w:r>
        <w:rPr>
          <w:color w:val="666666"/>
          <w:sz w:val="20"/>
          <w:szCs w:val="20"/>
        </w:rPr>
        <w:t xml:space="preserve"> → </w:t>
      </w:r>
      <w:r>
        <w:rPr>
          <w:b w:val="false"/>
          <w:bCs w:val="false"/>
          <w:sz w:val="20"/>
          <w:szCs w:val="20"/>
        </w:rPr>
        <w:t xml:space="preserve">In-house manufacturing transition (reducing karigar dependency, improving margin)</w:t>
      </w:r>
      <w:r>
        <w:rPr>
          <w:color w:val="666666"/>
          <w:sz w:val="20"/>
          <w:szCs w:val="20"/>
        </w:rPr>
        <w:t xml:space="preserve"> → </w:t>
      </w:r>
      <w:r>
        <w:rPr>
          <w:b w:val="false"/>
          <w:bCs w:val="false"/>
          <w:sz w:val="20"/>
          <w:szCs w:val="20"/>
        </w:rPr>
        <w:t xml:space="preserve">PAT growth (+156% FY26, partly operating leverage on a low base)</w:t>
      </w:r>
      <w:r>
        <w:rPr>
          <w:color w:val="666666"/>
          <w:sz w:val="20"/>
          <w:szCs w:val="20"/>
        </w:rPr>
        <w:t xml:space="preserve"> → </w:t>
      </w:r>
      <w:r>
        <w:rPr>
          <w:b w:val="false"/>
          <w:bCs w:val="false"/>
          <w:sz w:val="20"/>
          <w:szCs w:val="20"/>
        </w:rPr>
        <w:t xml:space="preserve">Cash conversion (currently negative OCF/FCF, funded by IPO proceeds and debt)</w:t>
      </w:r>
    </w:p>
    <w:p>
      <w:pPr>
        <w:spacing w:after="120"/>
      </w:pPr>
      <w:r>
        <w:rPr>
          <w:color w:val="666666"/>
          <w:sz w:val="18"/>
          <w:szCs w:val="18"/>
        </w:rPr>
        <w:t xml:space="preserve">Bottleneck link: Karigar/supplier concentration (91.81% via top 10) until the in-house facility is fully operational and scaled.</w:t>
      </w:r>
    </w:p>
    <w:p>
      <w:pPr>
        <w:spacing w:after="120"/>
      </w:pPr>
      <w:r>
        <w:rPr>
          <w:color w:val="666666"/>
          <w:sz w:val="18"/>
          <w:szCs w:val="18"/>
        </w:rPr>
        <w:t xml:space="preserve">Operating leverage: yes - PAT growth (+156%) well ahead of revenue growth (+38%) FY26, though partly a low-base effect</w:t>
      </w:r>
    </w:p>
    <w:p>
      <w:pPr>
        <w:spacing w:after="120"/>
      </w:pPr>
      <w:r>
        <w:rPr>
          <w:color w:val="666666"/>
          <w:sz w:val="18"/>
          <w:szCs w:val="18"/>
        </w:rPr>
        <w:t xml:space="preserve">Evidenced: Gold procurement + karigar processing network; Revenue growth; PAT growth. Still assumed: In-house manufacturing transition succeeding on schedule; Cash conversion improving as the business scales.</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2026-09-16</w:t>
            </w:r>
          </w:p>
        </w:tc>
      </w:tr>
      <w:tr>
        <w:tc>
          <w:tcPr>
            <w:tcW w:type="dxa" w:w="3200"/>
            <w:shd w:fill="F2F2F2" w:val="clear"/>
          </w:tcPr>
          <w:p>
            <w:r>
              <w:rPr>
                <w:b/>
                <w:bCs/>
              </w:rPr>
              <w:t xml:space="preserve">Price / multiple</w:t>
            </w:r>
          </w:p>
        </w:tc>
        <w:tc>
          <w:tcPr>
            <w:tcW w:type="dxa" w:w="5800"/>
          </w:tcPr>
          <w:p>
            <w:r>
              <w:t xml:space="preserve">Rs 172 · 15.8x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~15.8x trailing P/E is not demanding for the 38%/156% revenue/PAT growth shown; a mid-teens-to-20s% EPS CAGR would justify the multiple at a ~12-14x through-cycle exit typical for a bullion-linked B2B trading business</w:t>
            </w:r>
          </w:p>
        </w:tc>
      </w:tr>
      <w:tr>
        <w:tc>
          <w:tcPr>
            <w:tcW w:type="dxa" w:w="3200"/>
            <w:shd w:fill="F2F2F2" w:val="clear"/>
          </w:tcPr>
          <w:p>
            <w:r>
              <w:rPr>
                <w:b/>
                <w:bCs/>
              </w:rPr>
              <w:t xml:space="preserve">Our FY27</w:t>
            </w:r>
          </w:p>
        </w:tc>
        <w:tc>
          <w:tcPr>
            <w:tcW w:type="dxa" w:w="5800"/>
          </w:tcPr>
          <w:p>
            <w:r>
              <w:t xml:space="preserve">Revenue growth likely continues in the 30%+ range on continued South-India retail-chain demand; margin could improve modestly if the in-house facility commissions on schedule and starts reducing karigar making charges</w:t>
            </w:r>
          </w:p>
        </w:tc>
      </w:tr>
      <w:tr>
        <w:tc>
          <w:tcPr>
            <w:tcW w:type="dxa" w:w="3200"/>
            <w:shd w:fill="F2F2F2" w:val="clear"/>
          </w:tcPr>
          <w:p>
            <w:r>
              <w:rPr>
                <w:b/>
                <w:bCs/>
              </w:rPr>
              <w:t xml:space="preserve">Our FY28</w:t>
            </w:r>
          </w:p>
        </w:tc>
        <w:tc>
          <w:tcPr>
            <w:tcW w:type="dxa" w:w="5800"/>
          </w:tcPr>
          <w:p>
            <w:r>
              <w:t xml:space="preserve">Depends on successful in-house manufacturing ramp-up and whether the karigar-concentration risk is genuinely reduced, plus whether cash conversion improves as inventory growth moderates</w:t>
            </w:r>
          </w:p>
        </w:tc>
      </w:tr>
      <w:tr>
        <w:tc>
          <w:tcPr>
            <w:tcW w:type="dxa" w:w="3200"/>
            <w:shd w:fill="F2F2F2" w:val="clear"/>
          </w:tcPr>
          <w:p>
            <w:r>
              <w:rPr>
                <w:b/>
                <w:bCs/>
              </w:rPr>
              <w:t xml:space="preserve">Gap direction</w:t>
            </w:r>
          </w:p>
        </w:tc>
        <w:tc>
          <w:tcPr>
            <w:tcW w:type="dxa" w:w="5800"/>
          </w:tcPr>
          <w:p>
            <w:r>
              <w:t xml:space="preserve">priced-in</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~15.8x multiple looks reasonable but not clearly cheap for the growth shown; the market has limited information to price given only ~8 days of trading and one disclosed FY - genuinely too early to call a clear mispricing in either direction</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 (no VP thread exists for this name)</w:t>
      </w:r>
    </w:p>
    <w:p>
      <w:pPr>
        <w:spacing w:after="120" w:before="120"/>
      </w:pPr>
      <w:r>
        <w:rPr>
          <w:b/>
          <w:bCs/>
          <w:sz w:val="20"/>
          <w:szCs w:val="20"/>
        </w:rPr>
        <w:t xml:space="preserve">Catalyst: </w:t>
      </w:r>
      <w:r>
        <w:rPr>
          <w:sz w:val="20"/>
          <w:szCs w:val="20"/>
        </w:rPr>
        <w:t xml:space="preserve">In-house manufacturing facility commissioning + the first full quarter of post-listing disclosure (Q2/Q3 FY27), confirming whether margin improves and cash conversion stabilises</w:t>
      </w:r>
      <w:r>
        <w:rPr>
          <w:color w:val="666666"/>
          <w:sz w:val="18"/>
          <w:szCs w:val="18"/>
        </w:rPr>
        <w:t xml:space="preserve"> (window ~6M from 2026-09-16;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Organised-retail formalisation of India's gold jewellery trade (GST/hallmarking-driven B2B suppliers)</w:t>
            </w:r>
          </w:p>
        </w:tc>
      </w:tr>
      <w:tr>
        <w:tc>
          <w:tcPr>
            <w:tcW w:type="dxa" w:w="3200"/>
            <w:shd w:fill="F2F2F2" w:val="clear"/>
          </w:tcPr>
          <w:p>
            <w:r>
              <w:rPr>
                <w:b/>
                <w:bCs/>
              </w:rPr>
              <w:t xml:space="preserve">This company's position</w:t>
            </w:r>
          </w:p>
        </w:tc>
        <w:tc>
          <w:tcPr>
            <w:tcW w:type="dxa" w:w="5800"/>
          </w:tcPr>
          <w:p>
            <w:r>
              <w:t xml:space="preserve">B2B designer, processor and supplier of hallmarked gold jewellery to retail chains/standalone stores across South India, exclusively wholesale (no direct-to-consumer); currently outsources manufacturing to a network of 41 third-party karigars, transitioning toward in-house manufacturing</w:t>
            </w:r>
          </w:p>
        </w:tc>
      </w:tr>
      <w:tr>
        <w:tc>
          <w:tcPr>
            <w:tcW w:type="dxa" w:w="3200"/>
            <w:shd w:fill="F2F2F2" w:val="clear"/>
          </w:tcPr>
          <w:p>
            <w:r>
              <w:rPr>
                <w:b/>
                <w:bCs/>
              </w:rPr>
              <w:t xml:space="preserve">Bottleneck node (pricing power)</w:t>
            </w:r>
          </w:p>
        </w:tc>
        <w:tc>
          <w:tcPr>
            <w:tcW w:type="dxa" w:w="5800"/>
          </w:tcPr>
          <w:p>
            <w:r>
              <w:t xml:space="preserve">Karigar/supplier concentration - top 10 of 41 karigars account for 91.81% of purchases, a real single-point-of-failure the company is addressing via its own in-house facility</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Kalyan Jewellers (B2C, not a direct B2B comparable), PC Jeweller, Local/regional South-India bullion wholesalers (largely unorganised, unlisted)</w:t>
            </w:r>
          </w:p>
        </w:tc>
      </w:tr>
    </w:tbl>
    <w:p>
      <w:pPr>
        <w:spacing w:after="120"/>
      </w:pPr>
      <w:r>
        <w:rPr>
          <w:color w:val="666666"/>
          <w:sz w:val="18"/>
          <w:szCs w:val="18"/>
        </w:rPr>
        <w:t xml:space="preserve">The organised-vs-unorganised formalisation tailwind is real, but Deepa Jewellers' own supply chain (karigar-dependent) mirrors some of the informality risk it is positioned to help formalise for its retail-chain customers - the in-house facility is a direct response to this tension.</w:t>
      </w:r>
    </w:p>
    <w:p>
      <w:pPr>
        <w:spacing w:after="60" w:before="120"/>
      </w:pPr>
      <w:r>
        <w:rPr>
          <w:b/>
          <w:bCs/>
          <w:sz w:val="20"/>
          <w:szCs w:val="20"/>
        </w:rPr>
        <w:t xml:space="preserve">Earnings quality: </w:t>
      </w:r>
      <w:r>
        <w:rPr>
          <w:sz w:val="20"/>
          <w:szCs w:val="20"/>
        </w:rPr>
        <w:t xml:space="preserve">margin driver structural</w:t>
      </w:r>
      <w:r>
        <w:rPr>
          <w:b/>
          <w:bCs/>
          <w:color w:val="A32020"/>
          <w:sz w:val="20"/>
          <w:szCs w:val="20"/>
        </w:rPr>
        <w:t xml:space="preserve"/>
      </w:r>
    </w:p>
    <w:p>
      <w:pPr>
        <w:spacing w:after="120"/>
      </w:pPr>
      <w:r>
        <w:rPr>
          <w:color w:val="666666"/>
          <w:sz w:val="18"/>
          <w:szCs w:val="18"/>
        </w:rPr>
        <w:t xml:space="preserve">Drivers: Thin, gold-cost-dominated OPM (~8%) typical of bullion-trading economics; In-house manufacturing facility (under construction) explicitly targeted at expanding margin by reducing third-party making charges and pilferage.</w:t>
      </w:r>
    </w:p>
    <w:p>
      <w:pPr>
        <w:spacing w:after="120"/>
      </w:pPr>
      <w:r>
        <w:rPr>
          <w:color w:val="666666"/>
          <w:sz w:val="18"/>
          <w:szCs w:val="18"/>
        </w:rPr>
        <w:t xml:space="preserve">8% OPM is not a cyclical peak - if anything it is a structurally thin margin the company is trying to improve via in-house manufacturing; no evidence of an inflated or unsustainable current margin level.</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FY24 Rs 1,025 Cr -&gt; FY25 Rs 1,397 Cr (+36%) -&gt; FY26 Rs 1,927 Cr (+38%) - consistent, slightly accelerating growth across two full years, not a one-off. PAT: Rs 24 Cr -&gt; Rs 41 Cr -&gt; Rs 105 Cr (+~156% FY26) - profit growth well ahead of revenue, though partly reflecting operating leverage on a low base.</w:t>
      </w:r>
    </w:p>
    <w:p>
      <w:pPr>
        <w:spacing w:after="120"/>
      </w:pPr>
      <w:r>
        <w:rPr>
          <w:color w:val="666666"/>
          <w:sz w:val="18"/>
          <w:szCs w:val="18"/>
        </w:rPr>
        <w:t xml:space="preserve">Reverse P/E: ~15.8x trailing P/E is not demanding for 38% revenue growth and accelerating PAT, if the ratios prove durable across more quarters of public disclosure.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IPO proceeds (~Rs 215 Cr of ~Rs 250 Cr fresh issue) earmarked for working capital, funding inventory scaling; separately investing in an in-house manufacturing facility to reduce third-party dependency - a coherent, disclosed capital-allocation plan rather than an ad hoc use of funds. (unclear)</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no-track-record</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move from a pure outsourced/karigar-dependent trading model toward in-house manufacturing (Hyderabad facility, advanced casting/printing equipment) - a genuine capability-ladder step to reduce the company's single biggest quantified risk.</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51.6% (unclear)</w:t>
            </w:r>
          </w:p>
        </w:tc>
      </w:tr>
      <w:tr>
        <w:tc>
          <w:tcPr>
            <w:tcW w:type="dxa" w:w="3200"/>
            <w:shd w:fill="F2F2F2" w:val="clear"/>
          </w:tcPr>
          <w:p>
            <w:r>
              <w:rPr>
                <w:b/>
                <w:bCs/>
              </w:rPr>
              <w:t xml:space="preserve">Leverage</w:t>
            </w:r>
          </w:p>
        </w:tc>
        <w:tc>
          <w:tcPr>
            <w:tcW w:type="dxa" w:w="5800"/>
          </w:tcPr>
          <w:p>
            <w:r>
              <w:t xml:space="preserve">—</w:t>
            </w:r>
          </w:p>
        </w:tc>
      </w:tr>
      <w:tr>
        <w:tc>
          <w:tcPr>
            <w:tcW w:type="dxa" w:w="3200"/>
            <w:shd w:fill="F2F2F2" w:val="clear"/>
          </w:tcPr>
          <w:p>
            <w:r>
              <w:rPr>
                <w:b/>
                <w:bCs/>
              </w:rPr>
              <w:t xml:space="preserve">FCF conversion</w:t>
            </w:r>
          </w:p>
        </w:tc>
        <w:tc>
          <w:tcPr>
            <w:tcW w:type="dxa" w:w="5800"/>
          </w:tcPr>
          <w:p>
            <w:r>
              <w:t xml:space="preserve">-18%</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unclear</w:t>
            </w:r>
          </w:p>
        </w:tc>
      </w:tr>
    </w:tbl>
    <w:p>
      <w:pPr>
        <w:pStyle w:val="Heading1"/>
        <w:spacing w:after="120" w:before="280"/>
      </w:pPr>
      <w:r>
        <w:t xml:space="preserve">Technical Read (Weekly / Monthly MACD + Bollinger Bands, or RSI/CCI/Williams %R proxy)</w:t>
      </w:r>
    </w:p>
    <w:p>
      <w:pPr>
        <w:spacing w:after="120"/>
      </w:pPr>
      <w:r>
        <w:t xml:space="preserve">Now ~8 days of public trading history (listed Sept 8, 2026); trading around Rs 172, below the post-listing high of Rs 222 and closer to the Rs 177 issue price - still far too early for a meaningful technical read.</w:t>
      </w:r>
    </w:p>
    <w:p>
      <w:pPr>
        <w:pStyle w:val="Heading1"/>
        <w:spacing w:after="120" w:before="280"/>
      </w:pPr>
      <w:r>
        <w:t xml:space="preserve">ValuePickr Community Signal</w:t>
      </w:r>
    </w:p>
    <w:p>
      <w:pPr>
        <w:spacing w:after="120"/>
      </w:pPr>
      <w:r>
        <w:t xml:space="preserve">No dedicated ValuePickr thread found for Deepa Jewellers in this pass (re-confirmed; search returned unrelated results). No forum corroboration available given how recent the listing is.</w:t>
      </w:r>
    </w:p>
    <w:p>
      <w:pPr>
        <w:spacing w:after="120"/>
      </w:pPr>
      <w:r>
        <w:rPr>
          <w:b/>
          <w:bCs/>
          <w:sz w:val="20"/>
          <w:szCs w:val="20"/>
        </w:rPr>
        <w:t xml:space="preserve">High-conviction call from a top contributor: </w:t>
      </w:r>
      <w:r>
        <w:rPr>
          <w:sz w:val="20"/>
          <w:szCs w:val="20"/>
        </w:rPr>
        <w:t xml:space="preserve">None found - external-lead/X-untrusted source only.</w:t>
      </w:r>
    </w:p>
    <w:p>
      <w:pPr>
        <w:pStyle w:val="Heading1"/>
        <w:spacing w:after="120" w:before="280"/>
      </w:pPr>
      <w:r>
        <w:t xml:space="preserve">BSE Corporate Actions / Other Red Flags</w:t>
      </w:r>
    </w:p>
    <w:p>
      <w:pPr>
        <w:spacing w:after="120"/>
      </w:pPr>
      <w:r>
        <w:t xml:space="preserve">This pass confirms a clean compliance record: no litigation pending against the company, promoters, directors, KMPs or senior management; no auditor qualifications, reservations or adverse remarks (NSVR &amp; Associates LLP). No promoter pledge found. This remains a very recent IPO (Sept 2026) with limited public disclosure history.</w:t>
      </w:r>
    </w:p>
    <w:p>
      <w:pPr>
        <w:pStyle w:val="Heading1"/>
        <w:spacing w:after="120" w:before="280"/>
      </w:pPr>
      <w:r>
        <w:t xml:space="preserve">Bull Case</w:t>
      </w:r>
    </w:p>
    <w:p>
      <w:pPr>
        <w:pStyle w:val="ListParagraph"/>
        <w:numPr>
          <w:ilvl w:val="0"/>
          <w:numId w:val="1"/>
        </w:numPr>
        <w:spacing w:after="60"/>
      </w:pPr>
      <w:r>
        <w:t xml:space="preserve">Genuinely strong, consistent FY24-26 growth: revenue Rs 1,025 Cr -&gt; Rs 1,397 Cr -&gt; Rs 1,927 Cr (36%, then 38% YoY), PAT accelerating to +~156% in FY26 - not a one-quarter spike</w:t>
      </w:r>
    </w:p>
    <w:p>
      <w:pPr>
        <w:pStyle w:val="ListParagraph"/>
        <w:numPr>
          <w:ilvl w:val="0"/>
          <w:numId w:val="1"/>
        </w:numPr>
        <w:spacing w:after="60"/>
      </w:pPr>
      <w:r>
        <w:t xml:space="preserve">Reasonable ~15.8x P/E for the growth rate shown, if sustained; manageable leverage (D/E ~0.47)</w:t>
      </w:r>
    </w:p>
    <w:p>
      <w:pPr>
        <w:pStyle w:val="ListParagraph"/>
        <w:numPr>
          <w:ilvl w:val="0"/>
          <w:numId w:val="1"/>
        </w:numPr>
        <w:spacing w:after="60"/>
      </w:pPr>
      <w:r>
        <w:t xml:space="preserve">Clean compliance record confirmed this pass: no litigation, no auditor concerns, no promoter pledge</w:t>
      </w:r>
    </w:p>
    <w:p>
      <w:pPr>
        <w:pStyle w:val="ListParagraph"/>
        <w:numPr>
          <w:ilvl w:val="0"/>
          <w:numId w:val="1"/>
        </w:numPr>
        <w:spacing w:after="60"/>
      </w:pPr>
      <w:r>
        <w:t xml:space="preserve">Company is proactively addressing its main structural risk (karigar/supplier concentration) via an in-house manufacturing facility under construction, targeting margin expansion and reduced pilferage/quality risk</w:t>
      </w:r>
    </w:p>
    <w:p>
      <w:pPr>
        <w:pStyle w:val="ListParagraph"/>
        <w:numPr>
          <w:ilvl w:val="0"/>
          <w:numId w:val="1"/>
        </w:numPr>
        <w:spacing w:after="60"/>
      </w:pPr>
      <w:r>
        <w:t xml:space="preserve">Organised-retail formalisation of India's gold jewellery trade (GST/hallmarking) remains a real structural tailwind for compliant B2B suppliers</w:t>
      </w:r>
    </w:p>
    <w:p>
      <w:pPr>
        <w:pStyle w:val="Heading1"/>
        <w:spacing w:after="120" w:before="280"/>
      </w:pPr>
      <w:r>
        <w:t xml:space="preserve">Bear Case / Key Risks</w:t>
      </w:r>
    </w:p>
    <w:p>
      <w:pPr>
        <w:pStyle w:val="ListParagraph"/>
        <w:numPr>
          <w:ilvl w:val="0"/>
          <w:numId w:val="1"/>
        </w:numPr>
        <w:spacing w:after="60"/>
      </w:pPr>
      <w:r>
        <w:t xml:space="preserve">CONFIRMED, QUANTIFIED: top 10 of 41 karigars/suppliers account for 91.81% of purchases - a real, concrete single-point-of-failure in the outsourced manufacturing model, not just a generic 'weak moat' caution</w:t>
      </w:r>
    </w:p>
    <w:p>
      <w:pPr>
        <w:pStyle w:val="ListParagraph"/>
        <w:numPr>
          <w:ilvl w:val="0"/>
          <w:numId w:val="1"/>
        </w:numPr>
        <w:spacing w:after="60"/>
      </w:pPr>
      <w:r>
        <w:t xml:space="preserve">Operating margin is thin (8% OPM FY26) and FY26 operating/free cash flow were both negative (-Rs 15 Cr / -Rs 19 Cr) as inventory and borrowings scaled - typical for bullion trading but a real cash dynamic to monitor</w:t>
      </w:r>
    </w:p>
    <w:p>
      <w:pPr>
        <w:pStyle w:val="ListParagraph"/>
        <w:numPr>
          <w:ilvl w:val="0"/>
          <w:numId w:val="1"/>
        </w:numPr>
        <w:spacing w:after="60"/>
      </w:pPr>
      <w:r>
        <w:t xml:space="preserve">Still only ~8 days of public trading history and effectively one fully disclosed FY of financials - track record remains too short to confirm durability of the ratios</w:t>
      </w:r>
    </w:p>
    <w:p>
      <w:pPr>
        <w:pStyle w:val="ListParagraph"/>
        <w:numPr>
          <w:ilvl w:val="0"/>
          <w:numId w:val="1"/>
        </w:numPr>
        <w:spacing w:after="60"/>
      </w:pPr>
      <w:r>
        <w:t xml:space="preserve">B2B gold jewellery trading remains working-capital intensive and commodity-like; revenue growth is partly gold-price driven, not purely volume/share driven</w:t>
      </w:r>
    </w:p>
    <w:p>
      <w:pPr>
        <w:pStyle w:val="ListParagraph"/>
        <w:numPr>
          <w:ilvl w:val="0"/>
          <w:numId w:val="1"/>
        </w:numPr>
        <w:spacing w:after="60"/>
      </w:pPr>
      <w:r>
        <w:t xml:space="preserve">No forum or independent research corroboration found this pass</w:t>
      </w:r>
    </w:p>
    <w:p>
      <w:pPr>
        <w:pStyle w:val="Heading1"/>
        <w:spacing w:after="120" w:before="280"/>
      </w:pPr>
      <w:r>
        <w:t xml:space="preserve">Market-Cap Tier (informational — not a gate in this project)</w:t>
      </w:r>
    </w:p>
    <w:p>
      <w:pPr>
        <w:spacing w:after="120"/>
      </w:pPr>
      <w:r>
        <w:rPr>
          <w:b/>
          <w:bCs/>
        </w:rPr>
        <w:t xml:space="preserve">Small-cap (~Rs 1,651 Cr), recently listed Sept 2026</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yes · moat: weak · valuation: yes  (score 3.5 / 4)</w:t>
      </w:r>
    </w:p>
    <w:p>
      <w:pPr>
        <w:spacing w:after="120"/>
      </w:pPr>
      <w:r>
        <w:rPr>
          <w:i/>
          <w:iCs/>
          <w:color w:val="666666"/>
          <w:sz w:val="20"/>
          <w:szCs w:val="20"/>
        </w:rPr>
        <w:t xml:space="preserve">Organised-retail formalisation of Indian gold jewellery trade is a real structural tailwind against a huge unorganised TAM; valuation (~15.8x P/E) looks reasonable for the growth shown; moat weak given commodity-like B2B bullion trading and a now-quantified 91.81% top-10 supplier/karigar concentration; the track record (one FY, ~8 days of trading) remains too short to trust the numbers fully.</w:t>
      </w:r>
    </w:p>
    <w:p>
      <w:pPr>
        <w:pStyle w:val="Heading1"/>
        <w:spacing w:after="120" w:before="280"/>
      </w:pPr>
      <w:r>
        <w:t xml:space="preserve">Verdict</w:t>
      </w:r>
    </w:p>
    <w:p>
      <w:pPr>
        <w:spacing w:after="120"/>
      </w:pPr>
      <w:r>
        <w:rPr>
          <w:b/>
          <w:bCs/>
          <w:sz w:val="24"/>
          <w:szCs w:val="24"/>
        </w:rPr>
        <w:t xml:space="preserve">Strong, consistent headline growth (38% revenue, accelerating PAT) with a confirmed clean compliance record - but this pass quantifies a real supplier-concentration risk (91.81% via top 10 karigars) and thin operating margin, while the track record remains only ~8 days of public trading. four_box score of 3.5 would technically permit a growth label, but is still not applied given the short history. thesis_fit 'neither' (analyst override, unchanged), conviction reaffirmed Medium.</w:t>
      </w:r>
    </w:p>
    <w:p>
      <w:pPr>
        <w:pStyle w:val="ListParagraph"/>
        <w:numPr>
          <w:ilvl w:val="0"/>
          <w:numId w:val="1"/>
        </w:numPr>
        <w:spacing w:after="60"/>
      </w:pPr>
      <w:r>
        <w:t xml:space="preserve">Deep-dive pass 1 found no new red flags - the DRHP/post-listing disclosures confirm a clean compliance record (no litigation, no auditor issues, no pledge) - but quantifies risks the original pass could only describe qualitatively (91.81% top-10 supplier concentration, 8% OPM).</w:t>
      </w:r>
    </w:p>
    <w:p>
      <w:pPr>
        <w:pStyle w:val="ListParagraph"/>
        <w:numPr>
          <w:ilvl w:val="0"/>
          <w:numId w:val="1"/>
        </w:numPr>
        <w:spacing w:after="60"/>
      </w:pPr>
      <w:r>
        <w:t xml:space="preserve">The company is already taking a concrete step to mitigate its main structural risk: an in-house manufacturing facility (Hyderabad) is under construction, explicitly targeting reduced karigar dependency, better quality control and margin expansion - a genuine positive development since original discovery.</w:t>
      </w:r>
    </w:p>
    <w:p>
      <w:pPr>
        <w:pStyle w:val="ListParagraph"/>
        <w:numPr>
          <w:ilvl w:val="0"/>
          <w:numId w:val="1"/>
        </w:numPr>
        <w:spacing w:after="60"/>
      </w:pPr>
      <w:r>
        <w:t xml:space="preserve">four_box unchanged at 3.5 (tailwind yes, tam yes, moat weak, valuation yes); thesis_fit remains 'neither' (analyst_override) - the track record is still far too short (~8 days of trading, one disclosed FY) to responsibly apply a 10x/100x label regardless of the otherwise-attractive numbers.</w:t>
      </w:r>
    </w:p>
    <w:p>
      <w:pPr>
        <w:pStyle w:val="ListParagraph"/>
        <w:numPr>
          <w:ilvl w:val="0"/>
          <w:numId w:val="1"/>
        </w:numPr>
        <w:spacing w:after="60"/>
      </w:pPr>
      <w:r>
        <w:t xml:space="preserve">No red-flag-tier trigger found. Conviction reaffirmed at Medium rather than changed in either direction - this pass's findings are confirmatory/quantifying rather than either alarming or newly reassuring enough to move the needle.</w:t>
      </w:r>
    </w:p>
    <w:p>
      <w:pPr>
        <w:pStyle w:val="ListParagraph"/>
        <w:numPr>
          <w:ilvl w:val="0"/>
          <w:numId w:val="1"/>
        </w:numPr>
        <w:spacing w:after="60"/>
      </w:pPr>
      <w:r>
        <w:t xml:space="preserve">revisit_after_30d set true - the in-house facility's commissioning and the first full quarter of post-listing disclosure (Q2/Q3 FY27) are the key near-term checks.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2026-09-16T14:53:38.460Z</dcterms:created>
  <dcterms:modified xsi:type="dcterms:W3CDTF">2026-09-16T14:53:38.464Z</dcterms:modified>
</cp:coreProperties>
</file>

<file path=docProps/custom.xml><?xml version="1.0" encoding="utf-8"?>
<Properties xmlns="http://schemas.openxmlformats.org/officeDocument/2006/custom-properties" xmlns:vt="http://schemas.openxmlformats.org/officeDocument/2006/docPropsVTypes"/>
</file>