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Engineers India Ltd (EIL)</w:t>
      </w:r>
    </w:p>
    <w:p>
      <w:pPr>
        <w:pBdr>
          <w:bottom w:val="single" w:color="CCCCCC" w:sz="6" w:space="8"/>
        </w:pBdr>
        <w:spacing w:after="200"/>
      </w:pPr>
      <w:r>
        <w:rPr>
          <w:i/>
          <w:iCs/>
          <w:color w:val="666666"/>
          <w:sz w:val="22"/>
          <w:szCs w:val="22"/>
        </w:rPr>
        <w:t xml:space="preserve">PSU hydrocarbon-EPC/consultancy major with a genuine, confirmed inflection this pass - ROCE at a multi-year high (30.4% FY26), operating cash flow more than doubling (Rs 117cr -&gt; Rs 319cr FY25-&gt;FY26, CFO/operating-profit ratio 48%-&gt;70%), debtor days stable and healthy, and a real, named $350mn Dangote (Nigeria) EPCM contract - a large-cap with a genuinely improving quality-of-earnings profile, not just a cyclical order-book blip.</w:t>
      </w:r>
    </w:p>
    <w:p>
      <w:pPr>
        <w:pStyle w:val="Heading1"/>
        <w:spacing w:after="120" w:before="280"/>
      </w:pPr>
      <w:r>
        <w:t xml:space="preserve">Business Overview</w:t>
      </w:r>
    </w:p>
    <w:p>
      <w:pPr>
        <w:spacing w:after="120"/>
      </w:pPr>
      <w:r>
        <w:t xml:space="preserve">Engineers India Ltd (EIL, NSE: ENGINERSIN) is a Govt-of-India PSU (51.3% promoter/govt holding) providing engineering consultancy and EPC/LSTK execution to the hydrocarbon sector (refineries, petrochemicals, pipelines) plus emerging Green Hydrogen/CGD/fertiliser mandates, serving PSU majors (IOC, BPCL, HPCL, ONGC) domestically and international clients. In January 2026, EIL secured a confirmed, named contract worth over $350 million (~Rs 3,174.83 Cr) as Project Management Consultant (PMC) and EPCM Consultant for the expansion of the Dangote Refinery and Petrochemical Complex in Lagos, Nigeria (Train 2, expanding capacity from 650,000 to 1.4 million barrels per day) - a real, large, executable overseas win, not a vague aspiration. Seeded via untrusted X triage (@saditya10p, 2026-09-13). Large-cap (~Rs 14,655-15,116 Cr) - fast triage per protocol.</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14,655 Cr (price ~Rs 261)</w:t>
            </w:r>
          </w:p>
        </w:tc>
      </w:tr>
      <w:tr>
        <w:tc>
          <w:tcPr>
            <w:tcW w:type="dxa" w:w="3200"/>
            <w:shd w:fill="F2F2F2" w:val="clear"/>
          </w:tcPr>
          <w:p>
            <w:r>
              <w:rPr>
                <w:b/>
                <w:bCs/>
              </w:rPr>
              <w:t xml:space="preserve">Stock P/E</w:t>
            </w:r>
          </w:p>
        </w:tc>
        <w:tc>
          <w:tcPr>
            <w:tcW w:type="dxa" w:w="5800"/>
          </w:tcPr>
          <w:p>
            <w:r>
              <w:t xml:space="preserve">~18.7x trailing</w:t>
            </w:r>
          </w:p>
        </w:tc>
      </w:tr>
      <w:tr>
        <w:tc>
          <w:tcPr>
            <w:tcW w:type="dxa" w:w="3200"/>
            <w:shd w:fill="F2F2F2" w:val="clear"/>
          </w:tcPr>
          <w:p>
            <w:r>
              <w:rPr>
                <w:b/>
                <w:bCs/>
              </w:rPr>
              <w:t xml:space="preserve">ROE / ROCE (FY26)</w:t>
            </w:r>
          </w:p>
        </w:tc>
        <w:tc>
          <w:tcPr>
            <w:tcW w:type="dxa" w:w="5800"/>
          </w:tcPr>
          <w:p>
            <w:r>
              <w:t xml:space="preserve">ROE 23.4%; ROCE 30.4% - a multi-year high, up from the ~21.7%/24.0% cited at original discovery</w:t>
            </w:r>
          </w:p>
        </w:tc>
      </w:tr>
      <w:tr>
        <w:tc>
          <w:tcPr>
            <w:tcW w:type="dxa" w:w="3200"/>
            <w:shd w:fill="F2F2F2" w:val="clear"/>
          </w:tcPr>
          <w:p>
            <w:r>
              <w:rPr>
                <w:b/>
                <w:bCs/>
              </w:rPr>
              <w:t xml:space="preserve">Revenue growth</w:t>
            </w:r>
          </w:p>
        </w:tc>
        <w:tc>
          <w:tcPr>
            <w:tcW w:type="dxa" w:w="5800"/>
          </w:tcPr>
          <w:p>
            <w:r>
              <w:t xml:space="preserve">10-yr sales CAGR 10%; 5-yr CAGR 5%; 3-yr CAGR 6% - confirmed genuinely modest, consistent with the original 'poor 4.55% 5-yr CAGR' framing</w:t>
            </w:r>
          </w:p>
        </w:tc>
      </w:tr>
      <w:tr>
        <w:tc>
          <w:tcPr>
            <w:tcW w:type="dxa" w:w="3200"/>
            <w:shd w:fill="F2F2F2" w:val="clear"/>
          </w:tcPr>
          <w:p>
            <w:r>
              <w:rPr>
                <w:b/>
                <w:bCs/>
              </w:rPr>
              <w:t xml:space="preserve">Order book</w:t>
            </w:r>
          </w:p>
        </w:tc>
        <w:tc>
          <w:tcPr>
            <w:tcW w:type="dxa" w:w="5800"/>
          </w:tcPr>
          <w:p>
            <w:r>
              <w:t xml:space="preserve">~Rs 14,424 Cr (Jun 2026), consultancy 73% of backlog (up from 56% a year earlier) - a genuine structural mix shift toward the higher-margin segment</w:t>
            </w:r>
          </w:p>
        </w:tc>
      </w:tr>
      <w:tr>
        <w:tc>
          <w:tcPr>
            <w:tcW w:type="dxa" w:w="3200"/>
            <w:shd w:fill="F2F2F2" w:val="clear"/>
          </w:tcPr>
          <w:p>
            <w:r>
              <w:rPr>
                <w:b/>
                <w:bCs/>
              </w:rPr>
              <w:t xml:space="preserve">Q1 FY27</w:t>
            </w:r>
          </w:p>
        </w:tc>
        <w:tc>
          <w:tcPr>
            <w:tcW w:type="dxa" w:w="5800"/>
          </w:tcPr>
          <w:p>
            <w:r>
              <w:t xml:space="preserve">Revenue Rs 819.84 Cr (-5.8% YoY, turnkey tapering); PAT Rs 158 Cr (+141-145% YoY) on margin expansion - operating margin 14% vs 7%, EBITDA margin 18.55% vs 11.72% YoY</w:t>
            </w:r>
          </w:p>
        </w:tc>
      </w:tr>
      <w:tr>
        <w:tc>
          <w:tcPr>
            <w:tcW w:type="dxa" w:w="3200"/>
            <w:shd w:fill="F2F2F2" w:val="clear"/>
          </w:tcPr>
          <w:p>
            <w:r>
              <w:rPr>
                <w:b/>
                <w:bCs/>
              </w:rPr>
              <w:t xml:space="preserve">Cash flow (FY25-&gt;FY26)</w:t>
            </w:r>
          </w:p>
        </w:tc>
        <w:tc>
          <w:tcPr>
            <w:tcW w:type="dxa" w:w="5800"/>
          </w:tcPr>
          <w:p>
            <w:r>
              <w:t xml:space="preserve">Operating cash flow Rs 117 Cr -&gt; Rs 319 Cr; CFO/operating-profit ratio improved 48% -&gt; 70% - a genuine, large cash-conversion improvement</w:t>
            </w:r>
          </w:p>
        </w:tc>
      </w:tr>
      <w:tr>
        <w:tc>
          <w:tcPr>
            <w:tcW w:type="dxa" w:w="3200"/>
            <w:shd w:fill="F2F2F2" w:val="clear"/>
          </w:tcPr>
          <w:p>
            <w:r>
              <w:rPr>
                <w:b/>
                <w:bCs/>
              </w:rPr>
              <w:t xml:space="preserve">Debtor days</w:t>
            </w:r>
          </w:p>
        </w:tc>
        <w:tc>
          <w:tcPr>
            <w:tcW w:type="dxa" w:w="5800"/>
          </w:tcPr>
          <w:p>
            <w:r>
              <w:t xml:space="preserve">Stable and healthy at 45-53 days (FY26: 45 days)</w:t>
            </w:r>
          </w:p>
        </w:tc>
      </w:tr>
      <w:tr>
        <w:tc>
          <w:tcPr>
            <w:tcW w:type="dxa" w:w="3200"/>
            <w:shd w:fill="F2F2F2" w:val="clear"/>
          </w:tcPr>
          <w:p>
            <w:r>
              <w:rPr>
                <w:b/>
                <w:bCs/>
              </w:rPr>
              <w:t xml:space="preserve">Debt</w:t>
            </w:r>
          </w:p>
        </w:tc>
        <w:tc>
          <w:tcPr>
            <w:tcW w:type="dxa" w:w="5800"/>
          </w:tcPr>
          <w:p>
            <w:r>
              <w:t xml:space="preserve">Debt-free/net cash; zero promoter pledge</w:t>
            </w:r>
          </w:p>
        </w:tc>
      </w:tr>
      <w:tr>
        <w:tc>
          <w:tcPr>
            <w:tcW w:type="dxa" w:w="3200"/>
            <w:shd w:fill="F2F2F2" w:val="clear"/>
          </w:tcPr>
          <w:p>
            <w:r>
              <w:rPr>
                <w:b/>
                <w:bCs/>
              </w:rPr>
              <w:t xml:space="preserve">Dividend payout</w:t>
            </w:r>
          </w:p>
        </w:tc>
        <w:tc>
          <w:tcPr>
            <w:tcW w:type="dxa" w:w="5800"/>
          </w:tcPr>
          <w:p>
            <w:r>
              <w:t xml:space="preserve">Maintained 39-41% of earnings</w:t>
            </w:r>
          </w:p>
        </w:tc>
      </w:tr>
    </w:tbl>
    <w:p>
      <w:pPr>
        <w:spacing w:after="100"/>
      </w:pPr>
    </w:p>
    <w:p>
      <w:pPr>
        <w:spacing w:after="120"/>
      </w:pPr>
      <w:r>
        <w:t xml:space="preserve">This deep-dive pass confirms and meaningfully strengthens the original 'genuine near-term inflection' read: ROCE is now at a multi-year high (30.4% FY26, within a 5-year range of 16-29%), and - most notably - operating cash flow more than doubled (Rs 117 Cr -&gt; Rs 319 Cr FY25-FY26) with the CFO/operating-profit conversion ratio improving from 48% to 70%, a genuine quality-of-earnings improvement rather than headline profit growth unbacked by cash (a favourable contrast to several other names reviewed in recent batches). Debtor days are stable and healthy (45 days FY26), not deteriorating. Q1 FY27 shows the consultancy-mix-shift thesis playing out concretely: consultancy revenue +22% YoY at a 24% segment margin, driving operating margin from 7% to 14% and PAT +141-145% YoY even as overall revenue declined 5.8% (turnkey segment tapering as large projects wind down) - exactly the margin-accretive mix shift management has been guiding toward (consultancy now 73% of the order book, up from 56% a year earlier). The Dangote (Nigeria) contract is confirmed real and substantial: a $350mn+ (~Rs 3,175 Cr) PMC/EPCM award (January 2026) for a major refinery-capacity expansion, providing genuine multi-year overseas revenue visibility distinct from the domestic PSU-capex cycle. One nuance: the original write-up's 'Green Hydrogen mandate' appears to be more a capability-positioning claim (EIL's 25+ years of Hydrogen/Ammonia engineering experience being redeployed) than a specific, named, already-won Green Hydrogen contract - no concrete Green Hydrogen order was found this pass, so this remains a stated strategic direction rather than a confirmed revenue driver. The core caution remains structural, not new: this is a large-cap PSU with a genuinely modest long-run revenue growth rate (5-10% CAGR across 5-10 years) - the current inflection is real, but a return-magnitude (10x/100x) case simply isn't the right frame for a business of this scale.</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2026-09-16.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screener.in (ROCE/ROE, operating cash flow vs profit, debtor days, dividend payout, 10/5/3-yr sales/ROCE trend)</w:t>
      </w:r>
    </w:p>
    <w:p>
      <w:pPr>
        <w:pStyle w:val="ListParagraph"/>
        <w:numPr>
          <w:ilvl w:val="0"/>
          <w:numId w:val="1"/>
        </w:numPr>
        <w:spacing w:after="60"/>
      </w:pPr>
      <w:r>
        <w:t xml:space="preserve">Yahoo Finance, Investing.com, scanx.trade, indianmasterminds.com (Q1 FY27 results, segment revenue/margin detail)</w:t>
      </w:r>
    </w:p>
    <w:p>
      <w:pPr>
        <w:pStyle w:val="ListParagraph"/>
        <w:numPr>
          <w:ilvl w:val="0"/>
          <w:numId w:val="1"/>
        </w:numPr>
        <w:spacing w:after="60"/>
      </w:pPr>
      <w:r>
        <w:t xml:space="preserve">Business Standard, psuconnect.in (Dangote Nigeria contract confirmation and detail)</w:t>
      </w:r>
    </w:p>
    <w:p>
      <w:pPr>
        <w:pStyle w:val="ListParagraph"/>
        <w:numPr>
          <w:ilvl w:val="0"/>
          <w:numId w:val="1"/>
        </w:numPr>
        <w:spacing w:after="60"/>
      </w:pPr>
      <w:r>
        <w:t xml:space="preserve">Web search for promoter shareholding/pledge status (confirmed clean)</w:t>
      </w:r>
    </w:p>
    <w:p>
      <w:pPr>
        <w:spacing w:after="120"/>
      </w:pPr>
      <w:r>
        <w:rPr>
          <w:b/>
          <w:bCs/>
          <w:sz w:val="20"/>
          <w:szCs w:val="20"/>
        </w:rPr>
        <w:t xml:space="preserve">Annual-report findings (3-year view):</w:t>
      </w:r>
    </w:p>
    <w:p>
      <w:pPr>
        <w:pStyle w:val="ListParagraph"/>
        <w:numPr>
          <w:ilvl w:val="0"/>
          <w:numId w:val="1"/>
        </w:numPr>
        <w:spacing w:after="60"/>
      </w:pPr>
      <w:r>
        <w:t xml:space="preserve">ROCE 30.4% (FY26), a multi-year high within a 5-year range of 16-29%; ROE 23.4%.</w:t>
      </w:r>
    </w:p>
    <w:p>
      <w:pPr>
        <w:pStyle w:val="ListParagraph"/>
        <w:numPr>
          <w:ilvl w:val="0"/>
          <w:numId w:val="1"/>
        </w:numPr>
        <w:spacing w:after="60"/>
      </w:pPr>
      <w:r>
        <w:t xml:space="preserve">Operating cash flow more than doubled: Rs 117 Cr (FY25) -&gt; Rs 319 Cr (FY26); CFO/operating-profit ratio improved from 48% to 70% - a genuine, large cash-conversion improvement.</w:t>
      </w:r>
    </w:p>
    <w:p>
      <w:pPr>
        <w:pStyle w:val="ListParagraph"/>
        <w:numPr>
          <w:ilvl w:val="0"/>
          <w:numId w:val="1"/>
        </w:numPr>
        <w:spacing w:after="60"/>
      </w:pPr>
      <w:r>
        <w:t xml:space="preserve">Debtor days stable and healthy at 45-53 days (FY26: 45 days) - no deterioration.</w:t>
      </w:r>
    </w:p>
    <w:p>
      <w:pPr>
        <w:pStyle w:val="ListParagraph"/>
        <w:numPr>
          <w:ilvl w:val="0"/>
          <w:numId w:val="1"/>
        </w:numPr>
        <w:spacing w:after="60"/>
      </w:pPr>
      <w:r>
        <w:t xml:space="preserve">Debt-free/net cash, zero promoter pledge (51.3% Govt/promoter holding); dividend payout maintained at 39-41%.</w:t>
      </w:r>
    </w:p>
    <w:p>
      <w:pPr>
        <w:pStyle w:val="ListParagraph"/>
        <w:numPr>
          <w:ilvl w:val="0"/>
          <w:numId w:val="1"/>
        </w:numPr>
        <w:spacing w:after="60"/>
      </w:pPr>
      <w:r>
        <w:t xml:space="preserve">Confirmed 10-yr sales CAGR 10%, 5-yr CAGR 5%, 3-yr CAGR 6% - the original write-up's 'poor 4.55% 5-yr CAGR' framing is accurate, not overstated.</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Q1 FY27: consolidated revenue Rs 819.84 Cr (-5.8% YoY) as turnkey segment revenue fell (Rs 302 Cr vs Rs 449 Cr YoY, major projects tapering), while consultancy revenue rose to Rs 499 Cr (+22% YoY).</w:t>
      </w:r>
    </w:p>
    <w:p>
      <w:pPr>
        <w:pStyle w:val="ListParagraph"/>
        <w:numPr>
          <w:ilvl w:val="0"/>
          <w:numId w:val="1"/>
        </w:numPr>
        <w:spacing w:after="60"/>
      </w:pPr>
      <w:r>
        <w:t xml:space="preserve">Operating margin 14% (Rs 108 Cr) vs 7% (Rs 59 Cr) YoY; EBITDA margin 18.55% vs 11.72% YoY; PAT Rs 158 Cr, +141-145% YoY.</w:t>
      </w:r>
    </w:p>
    <w:p>
      <w:pPr>
        <w:pStyle w:val="ListParagraph"/>
        <w:numPr>
          <w:ilvl w:val="0"/>
          <w:numId w:val="1"/>
        </w:numPr>
        <w:spacing w:after="60"/>
      </w:pPr>
      <w:r>
        <w:t xml:space="preserve">Order book Rs 14,424 Cr as of Jun 2026 (consultancy Rs 10,498 Cr / turnkey Rs 3,926 Cr), consultancy now 73% of backlog vs 56% a year earlier.</w:t>
      </w:r>
    </w:p>
    <w:p>
      <w:pPr>
        <w:spacing w:after="120"/>
      </w:pPr>
      <w:r>
        <w:rPr>
          <w:b/>
          <w:bCs/>
          <w:sz w:val="20"/>
          <w:szCs w:val="20"/>
        </w:rPr>
        <w:t xml:space="preserve">Exchange announcements (last 6 months):</w:t>
      </w:r>
    </w:p>
    <w:p>
      <w:pPr>
        <w:pStyle w:val="ListParagraph"/>
        <w:numPr>
          <w:ilvl w:val="0"/>
          <w:numId w:val="1"/>
        </w:numPr>
        <w:spacing w:after="60"/>
      </w:pPr>
      <w:r>
        <w:t xml:space="preserve">Dangote (Nigeria) refinery-expansion PMC/EPCM contract, $350mn+ (~Rs 3,175 Cr), awarded January 2026 - Train 2 expansion from 650,000 to 1.4 million bpd.</w:t>
      </w:r>
    </w:p>
    <w:p>
      <w:pPr>
        <w:spacing w:after="120"/>
      </w:pPr>
      <w:r>
        <w:rPr>
          <w:b/>
          <w:bCs/>
          <w:sz w:val="20"/>
          <w:szCs w:val="20"/>
        </w:rPr>
        <w:t xml:space="preserve">Key new facts vs. the prior write-up:</w:t>
      </w:r>
    </w:p>
    <w:p>
      <w:pPr>
        <w:pStyle w:val="ListParagraph"/>
        <w:numPr>
          <w:ilvl w:val="0"/>
          <w:numId w:val="1"/>
        </w:numPr>
        <w:spacing w:after="60"/>
      </w:pPr>
      <w:r>
        <w:t xml:space="preserve">CONFIRMED, STRENGTHENED: ROCE is at a multi-year high (30.4%), and operating cash flow more than doubled with a large improvement in cash-conversion quality (CFO/operating-profit 48%-&gt;70%) - materially better than the original pass's snapshot figures.</w:t>
      </w:r>
    </w:p>
    <w:p>
      <w:pPr>
        <w:pStyle w:val="ListParagraph"/>
        <w:numPr>
          <w:ilvl w:val="0"/>
          <w:numId w:val="1"/>
        </w:numPr>
        <w:spacing w:after="60"/>
      </w:pPr>
      <w:r>
        <w:t xml:space="preserve">CONFIRMED: the Dangote contract is real, dated, and substantial ($350mn+, Jan 2026 award) - not a vague overseas-expansion claim.</w:t>
      </w:r>
    </w:p>
    <w:p>
      <w:pPr>
        <w:pStyle w:val="ListParagraph"/>
        <w:numPr>
          <w:ilvl w:val="0"/>
          <w:numId w:val="1"/>
        </w:numPr>
        <w:spacing w:after="60"/>
      </w:pPr>
      <w:r>
        <w:t xml:space="preserve">CONFIRMED, VISIBLE IN RESULTS: the consultancy-mix-shift thesis is now showing up directly in Q1 FY27 margin expansion (operating margin 7%-&gt;14%), not just an order-book composition statistic.</w:t>
      </w:r>
    </w:p>
    <w:p>
      <w:pPr>
        <w:pStyle w:val="ListParagraph"/>
        <w:numPr>
          <w:ilvl w:val="0"/>
          <w:numId w:val="1"/>
        </w:numPr>
        <w:spacing w:after="60"/>
      </w:pPr>
      <w:r>
        <w:t xml:space="preserve">NUANCE: the 'Green Hydrogen mandate' remains capability positioning rather than a specific, already-won contract - no concrete Green Hydrogen order was found this pass.</w:t>
      </w:r>
    </w:p>
    <w:p>
      <w:pPr>
        <w:pStyle w:val="ListParagraph"/>
        <w:numPr>
          <w:ilvl w:val="0"/>
          <w:numId w:val="1"/>
        </w:numPr>
        <w:spacing w:after="60"/>
      </w:pPr>
      <w:r>
        <w:t xml:space="preserve">No new red flags found; debtor days and dividend payout both remain healthy and stable.</w:t>
      </w:r>
    </w:p>
    <w:p>
      <w:pPr>
        <w:spacing w:after="120"/>
      </w:pPr>
      <w:r>
        <w:rPr>
          <w:b/>
          <w:bCs/>
          <w:sz w:val="20"/>
          <w:szCs w:val="20"/>
        </w:rPr>
        <w:t xml:space="preserve">Open questions / what to watch:</w:t>
      </w:r>
    </w:p>
    <w:p>
      <w:pPr>
        <w:pStyle w:val="ListParagraph"/>
        <w:numPr>
          <w:ilvl w:val="0"/>
          <w:numId w:val="1"/>
        </w:numPr>
        <w:spacing w:after="60"/>
      </w:pPr>
      <w:r>
        <w:t xml:space="preserve">Whether a concrete, named Green Hydrogen contract materialises, converting the current capability-positioning language into an actual revenue driver.</w:t>
      </w:r>
    </w:p>
    <w:p>
      <w:pPr>
        <w:pStyle w:val="ListParagraph"/>
        <w:numPr>
          <w:ilvl w:val="0"/>
          <w:numId w:val="1"/>
        </w:numPr>
        <w:spacing w:after="60"/>
      </w:pPr>
      <w:r>
        <w:t xml:space="preserve">Execution risk and margin quality on the large Dangote contract specifically, given its scale relative to EIL's existing order book.</w:t>
      </w:r>
    </w:p>
    <w:p>
      <w:pPr>
        <w:pStyle w:val="ListParagraph"/>
        <w:numPr>
          <w:ilvl w:val="0"/>
          <w:numId w:val="1"/>
        </w:numPr>
        <w:spacing w:after="60"/>
      </w:pPr>
      <w:r>
        <w:t xml:space="preserve">Whether the turnkey-segment revenue decline (-32.7% YoY Q1 FY27) stabilises or continues as legacy projects complete, and how quickly new turnkey wins backfill it.</w:t>
      </w:r>
    </w:p>
    <w:p>
      <w:pPr>
        <w:spacing w:after="120" w:before="120"/>
      </w:pPr>
      <w:r>
        <w:rPr>
          <w:b/>
          <w:bCs/>
          <w:sz w:val="20"/>
          <w:szCs w:val="20"/>
        </w:rPr>
        <w:t xml:space="preserve">Conviction impact: </w:t>
      </w:r>
      <w:r>
        <w:rPr>
          <w:sz w:val="20"/>
          <w:szCs w:val="20"/>
        </w:rPr>
        <w:t xml:space="preserve">Medium -&gt; Medium-High. This pass found no new red flags and instead confirmed the original 'genuine inflection' read was, if anything, understated: ROCE is at a multi-year high, operating cash flow more than doubled with much-improved conversion quality, and the Dangote contract and consultancy-mix-shift margin story are both now concretely evidenced in actual results rather than just guided targets. thesis_fit remains 'neither' purely on large-cap/PSU size grounds, unrelated to this pass's genuinely positive findings.</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Consultancy-mix shift driving margin expansion</w:t>
            </w:r>
          </w:p>
        </w:tc>
        <w:tc>
          <w:tcPr>
            <w:tcW w:type="dxa" w:w="2400"/>
          </w:tcPr>
          <w:p>
            <w:r>
              <w:rPr>
                <w:b w:val="false"/>
                <w:bCs w:val="false"/>
                <w:sz w:val="18"/>
                <w:szCs w:val="18"/>
              </w:rPr>
              <w:t xml:space="preserve">Consultancy now 73% of order book (from 56%); Q1 FY27 operating margin 7%-&gt;14%, consultancy segment margin 24%</w:t>
            </w:r>
          </w:p>
        </w:tc>
        <w:tc>
          <w:tcPr>
            <w:tcW w:type="dxa" w:w="900"/>
          </w:tcPr>
          <w:p>
            <w:r>
              <w:rPr>
                <w:b w:val="false"/>
                <w:bCs w:val="false"/>
                <w:sz w:val="18"/>
                <w:szCs w:val="18"/>
              </w:rPr>
              <w:t xml:space="preserve">already reported</w:t>
            </w:r>
          </w:p>
        </w:tc>
        <w:tc>
          <w:tcPr>
            <w:tcW w:type="dxa" w:w="1200"/>
          </w:tcPr>
          <w:p>
            <w:r>
              <w:rPr>
                <w:b w:val="false"/>
                <w:bCs w:val="false"/>
                <w:sz w:val="18"/>
                <w:szCs w:val="18"/>
              </w:rPr>
              <w:t xml:space="preserve">financial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Dangote (Nigeria) refinery-expansion PMC/EPCM contract</w:t>
            </w:r>
          </w:p>
        </w:tc>
        <w:tc>
          <w:tcPr>
            <w:tcW w:type="dxa" w:w="2400"/>
          </w:tcPr>
          <w:p>
            <w:r>
              <w:rPr>
                <w:b w:val="false"/>
                <w:bCs w:val="false"/>
                <w:sz w:val="18"/>
                <w:szCs w:val="18"/>
              </w:rPr>
              <w:t xml:space="preserve">$350mn+ (~Rs 3,175 Cr), awarded Jan 2026, Train 2 expansion from 650,000 to 1.4 million barrels/day</w:t>
            </w:r>
          </w:p>
        </w:tc>
        <w:tc>
          <w:tcPr>
            <w:tcW w:type="dxa" w:w="900"/>
          </w:tcPr>
          <w:p>
            <w:r>
              <w:rPr>
                <w:b w:val="false"/>
                <w:bCs w:val="false"/>
                <w:sz w:val="18"/>
                <w:szCs w:val="18"/>
              </w:rPr>
              <w:t xml:space="preserve">beyond</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Green Hydrogen / CGD / fertiliser positioning</w:t>
            </w:r>
          </w:p>
        </w:tc>
        <w:tc>
          <w:tcPr>
            <w:tcW w:type="dxa" w:w="2400"/>
          </w:tcPr>
          <w:p>
            <w:r>
              <w:rPr>
                <w:b w:val="false"/>
                <w:bCs w:val="false"/>
                <w:sz w:val="18"/>
                <w:szCs w:val="18"/>
              </w:rPr>
              <w:t xml:space="preserve">Leveraging 25+ years of Hydrogen/Ammonia engineering experience; no specific named contract confirmed this pass</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PSU incumbency + decades of hydrocarbon engineering IP</w:t>
      </w:r>
      <w:r>
        <w:rPr>
          <w:color w:val="666666"/>
          <w:sz w:val="20"/>
          <w:szCs w:val="20"/>
        </w:rPr>
        <w:t xml:space="preserve"> → </w:t>
      </w:r>
      <w:r>
        <w:rPr>
          <w:b w:val="false"/>
          <w:bCs w:val="false"/>
          <w:sz w:val="20"/>
          <w:szCs w:val="20"/>
        </w:rPr>
        <w:t xml:space="preserve">Order book growth + consultancy mix shift (73% of backlog) + Dangote overseas win</w:t>
      </w:r>
      <w:r>
        <w:rPr>
          <w:color w:val="666666"/>
          <w:sz w:val="20"/>
          <w:szCs w:val="20"/>
        </w:rPr>
        <w:t xml:space="preserve"> → </w:t>
      </w:r>
      <w:r>
        <w:rPr>
          <w:b w:val="false"/>
          <w:bCs w:val="false"/>
          <w:sz w:val="20"/>
          <w:szCs w:val="20"/>
        </w:rPr>
        <w:t xml:space="preserve">Consultancy revenue growth (+22% YoY Q1 FY27) at higher segment margin (24%)</w:t>
      </w:r>
      <w:r>
        <w:rPr>
          <w:color w:val="666666"/>
          <w:sz w:val="20"/>
          <w:szCs w:val="20"/>
        </w:rPr>
        <w:t xml:space="preserve"> → </w:t>
      </w:r>
      <w:r>
        <w:rPr>
          <w:b w:val="false"/>
          <w:bCs w:val="false"/>
          <w:sz w:val="20"/>
          <w:szCs w:val="20"/>
        </w:rPr>
        <w:t xml:space="preserve">Operating margin expansion (7%-&gt;14% Q1 FY27)</w:t>
      </w:r>
      <w:r>
        <w:rPr>
          <w:color w:val="666666"/>
          <w:sz w:val="20"/>
          <w:szCs w:val="20"/>
        </w:rPr>
        <w:t xml:space="preserve"> → </w:t>
      </w:r>
      <w:r>
        <w:rPr>
          <w:b w:val="false"/>
          <w:bCs w:val="false"/>
          <w:sz w:val="20"/>
          <w:szCs w:val="20"/>
        </w:rPr>
        <w:t xml:space="preserve">PAT growth (+141-145% YoY Q1 FY27)</w:t>
      </w:r>
      <w:r>
        <w:rPr>
          <w:color w:val="666666"/>
          <w:sz w:val="20"/>
          <w:szCs w:val="20"/>
        </w:rPr>
        <w:t xml:space="preserve"> → </w:t>
      </w:r>
      <w:r>
        <w:rPr>
          <w:b w:val="false"/>
          <w:bCs w:val="false"/>
          <w:sz w:val="20"/>
          <w:szCs w:val="20"/>
        </w:rPr>
        <w:t xml:space="preserve">Cash conversion (CFO/operating-profit ratio 48%-&gt;70% FY25-&gt;FY26)</w:t>
      </w:r>
    </w:p>
    <w:p>
      <w:pPr>
        <w:spacing w:after="120"/>
      </w:pPr>
      <w:r>
        <w:rPr>
          <w:color w:val="666666"/>
          <w:sz w:val="18"/>
          <w:szCs w:val="18"/>
        </w:rPr>
        <w:t xml:space="preserve">Bottleneck link: Turnkey segment tapering as large legacy projects wind down, partially offsetting consultancy growth at the headline revenue level.</w:t>
      </w:r>
    </w:p>
    <w:p>
      <w:pPr>
        <w:spacing w:after="120"/>
      </w:pPr>
      <w:r>
        <w:rPr>
          <w:color w:val="666666"/>
          <w:sz w:val="18"/>
          <w:szCs w:val="18"/>
        </w:rPr>
        <w:t xml:space="preserve">Operating leverage: yes - PAT growth (+141-145%) vastly outpacing revenue (-5.8%), evidenced directly in Q1 FY27 results via the consultancy-mix shift</w:t>
      </w:r>
    </w:p>
    <w:p>
      <w:pPr>
        <w:spacing w:after="120"/>
      </w:pPr>
      <w:r>
        <w:rPr>
          <w:color w:val="666666"/>
          <w:sz w:val="18"/>
          <w:szCs w:val="18"/>
        </w:rPr>
        <w:t xml:space="preserve">Evidenced: Order book growth + consultancy mix shift; Consultancy revenue growth; Operating margin expansion; PAT growth; Cash conversion. Still assumed: Dangote contract executing on schedule without major disruption.</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2026-09-16</w:t>
            </w:r>
          </w:p>
        </w:tc>
      </w:tr>
      <w:tr>
        <w:tc>
          <w:tcPr>
            <w:tcW w:type="dxa" w:w="3200"/>
            <w:shd w:fill="F2F2F2" w:val="clear"/>
          </w:tcPr>
          <w:p>
            <w:r>
              <w:rPr>
                <w:b/>
                <w:bCs/>
              </w:rPr>
              <w:t xml:space="preserve">Price / multiple</w:t>
            </w:r>
          </w:p>
        </w:tc>
        <w:tc>
          <w:tcPr>
            <w:tcW w:type="dxa" w:w="5800"/>
          </w:tcPr>
          <w:p>
            <w:r>
              <w:t xml:space="preserve">Rs 261 · 18.7x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~18.7x trailing P/E is reasonable for a debt-free PSU consultancy/EPC major showing genuine margin expansion and cash-conversion improvement, even against a modest 5-10% historical revenue CAGR, given the current ROCE (30.4%) is at a multi-year high</w:t>
            </w:r>
          </w:p>
        </w:tc>
      </w:tr>
      <w:tr>
        <w:tc>
          <w:tcPr>
            <w:tcW w:type="dxa" w:w="3200"/>
            <w:shd w:fill="F2F2F2" w:val="clear"/>
          </w:tcPr>
          <w:p>
            <w:r>
              <w:rPr>
                <w:b/>
                <w:bCs/>
              </w:rPr>
              <w:t xml:space="preserve">Our FY27</w:t>
            </w:r>
          </w:p>
        </w:tc>
        <w:tc>
          <w:tcPr>
            <w:tcW w:type="dxa" w:w="5800"/>
          </w:tcPr>
          <w:p>
            <w:r>
              <w:t xml:space="preserve">PAT growth likely continues to outpace revenue as the consultancy mix shift plays out and the Dangote contract ramps, even if headline revenue stays lumpy as turnkey projects taper</w:t>
            </w:r>
          </w:p>
        </w:tc>
      </w:tr>
      <w:tr>
        <w:tc>
          <w:tcPr>
            <w:tcW w:type="dxa" w:w="3200"/>
            <w:shd w:fill="F2F2F2" w:val="clear"/>
          </w:tcPr>
          <w:p>
            <w:r>
              <w:rPr>
                <w:b/>
                <w:bCs/>
              </w:rPr>
              <w:t xml:space="preserve">Our FY28</w:t>
            </w:r>
          </w:p>
        </w:tc>
        <w:tc>
          <w:tcPr>
            <w:tcW w:type="dxa" w:w="5800"/>
          </w:tcPr>
          <w:p>
            <w:r>
              <w:t xml:space="preserve">Depends on sustained consultancy-mix momentum, successful Dangote execution, and any concrete (not just positioning) Green Hydrogen contract wins materialising</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mix</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market's ~18.7x multiple likely credits some of the order-book/Dangote story, but the scale of the FY25-FY26 cash-conversion improvement (48%-&gt;70%) and the ROCE move to a multi-year high may not be fully appreciated given the headline revenue figure (still down YoY in Q1 FY27) could obscure the underlying quality improvement</w:t>
            </w:r>
          </w:p>
        </w:tc>
      </w:tr>
      <w:tr>
        <w:tc>
          <w:tcPr>
            <w:tcW w:type="dxa" w:w="3200"/>
            <w:shd w:fill="F2F2F2" w:val="clear"/>
          </w:tcPr>
          <w:p>
            <w:r>
              <w:rPr>
                <w:b/>
                <w:bCs/>
              </w:rPr>
              <w:t xml:space="preserve">Evidence quality</w:t>
            </w:r>
          </w:p>
        </w:tc>
        <w:tc>
          <w:tcPr>
            <w:tcW w:type="dxa" w:w="5800"/>
          </w:tcPr>
          <w:p>
            <w:r>
              <w:t xml:space="preserve">strong</w:t>
            </w:r>
          </w:p>
        </w:tc>
      </w:tr>
    </w:tbl>
    <w:p>
      <w:pPr>
        <w:spacing w:after="120"/>
      </w:pPr>
      <w:r>
        <w:rPr>
          <w:i/>
          <w:iCs/>
          <w:color w:val="666666"/>
          <w:sz w:val="16"/>
          <w:szCs w:val="16"/>
        </w:rPr>
        <w:t xml:space="preserve">no broker consensus; implied path is a reverse-P/E estimate + screener.in forward figures + VP thread view (no forum deep-dive performed, large-cap fast-triage protocol)</w:t>
      </w:r>
    </w:p>
    <w:p>
      <w:pPr>
        <w:spacing w:after="120" w:before="120"/>
      </w:pPr>
      <w:r>
        <w:rPr>
          <w:b/>
          <w:bCs/>
          <w:sz w:val="20"/>
          <w:szCs w:val="20"/>
        </w:rPr>
        <w:t xml:space="preserve">Catalyst: </w:t>
      </w:r>
      <w:r>
        <w:rPr>
          <w:sz w:val="20"/>
          <w:szCs w:val="20"/>
        </w:rPr>
        <w:t xml:space="preserve">Continued consultancy-mix-driven margin expansion across FY27, and confirmation of Dangote contract execution milestones</w:t>
      </w:r>
      <w:r>
        <w:rPr>
          <w:color w:val="666666"/>
          <w:sz w:val="18"/>
          <w:szCs w:val="18"/>
        </w:rPr>
        <w:t xml:space="preserve"> (window ~9M from 2026-09-16; undated; evidence high;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PSU hydrocarbon-sector EPC/engineering-consultancy majors (India refinery/petrochemical/CGD capex cycle + overseas expansion)</w:t>
            </w:r>
          </w:p>
        </w:tc>
      </w:tr>
      <w:tr>
        <w:tc>
          <w:tcPr>
            <w:tcW w:type="dxa" w:w="3200"/>
            <w:shd w:fill="F2F2F2" w:val="clear"/>
          </w:tcPr>
          <w:p>
            <w:r>
              <w:rPr>
                <w:b/>
                <w:bCs/>
              </w:rPr>
              <w:t xml:space="preserve">This company's position</w:t>
            </w:r>
          </w:p>
        </w:tc>
        <w:tc>
          <w:tcPr>
            <w:tcW w:type="dxa" w:w="5800"/>
          </w:tcPr>
          <w:p>
            <w:r>
              <w:t xml:space="preserve">Engineering consultancy and EPC/LSTK execution for the hydrocarbon sector, serving domestic PSU majors (IOC, BPCL, HPCL, ONGC) and now a confirmed large overseas client (Dangote, Nigeria); positioning (not yet a named large contract) in Green Hydrogen/CGD/fertiliser via decades of Hydrogen/Ammonia engineering experience</w:t>
            </w:r>
          </w:p>
        </w:tc>
      </w:tr>
      <w:tr>
        <w:tc>
          <w:tcPr>
            <w:tcW w:type="dxa" w:w="3200"/>
            <w:shd w:fill="F2F2F2" w:val="clear"/>
          </w:tcPr>
          <w:p>
            <w:r>
              <w:rPr>
                <w:b/>
                <w:bCs/>
              </w:rPr>
              <w:t xml:space="preserve">Bottleneck node (pricing power)</w:t>
            </w:r>
          </w:p>
        </w:tc>
        <w:tc>
          <w:tcPr>
            <w:tcW w:type="dxa" w:w="5800"/>
          </w:tcPr>
          <w:p>
            <w:r>
              <w:t xml:space="preserve">PSU-incumbency and deep, decades-long hydrocarbon-engineering domain expertise - a real, structural moat for large-ticket consultancy/PMC mandates, though it doesn't translate into a fast underlying revenue-growth rate</w:t>
            </w:r>
          </w:p>
        </w:tc>
      </w:tr>
      <w:tr>
        <w:tc>
          <w:tcPr>
            <w:tcW w:type="dxa" w:w="3200"/>
            <w:shd w:fill="F2F2F2" w:val="clear"/>
          </w:tcPr>
          <w:p>
            <w:r>
              <w:rPr>
                <w:b/>
                <w:bCs/>
              </w:rPr>
              <w:t xml:space="preserve">Supply-side status</w:t>
            </w:r>
          </w:p>
        </w:tc>
        <w:tc>
          <w:tcPr>
            <w:tcW w:type="dxa" w:w="5800"/>
          </w:tcPr>
          <w:p>
            <w:r>
              <w:t xml:space="preserve">balanced</w:t>
            </w:r>
          </w:p>
        </w:tc>
      </w:tr>
      <w:tr>
        <w:tc>
          <w:tcPr>
            <w:tcW w:type="dxa" w:w="3200"/>
            <w:shd w:fill="F2F2F2" w:val="clear"/>
          </w:tcPr>
          <w:p>
            <w:r>
              <w:rPr>
                <w:b/>
                <w:bCs/>
              </w:rPr>
              <w:t xml:space="preserve">Adjacent-node peers</w:t>
            </w:r>
          </w:p>
        </w:tc>
        <w:tc>
          <w:tcPr>
            <w:tcW w:type="dxa" w:w="5800"/>
          </w:tcPr>
          <w:p>
            <w:r>
              <w:t xml:space="preserve">Petronet LNG (different segment, adjacent value chain), Larsen &amp; Toubro (broader EPC), Technip Energies (global consultancy/EPCM peer)</w:t>
            </w:r>
          </w:p>
        </w:tc>
      </w:tr>
    </w:tbl>
    <w:p>
      <w:pPr>
        <w:spacing w:after="120"/>
      </w:pPr>
      <w:r>
        <w:rPr>
          <w:color w:val="666666"/>
          <w:sz w:val="18"/>
          <w:szCs w:val="18"/>
        </w:rPr>
        <w:t xml:space="preserve">EIL's moat is real (PSU incumbency, decades of hydrocarbon-engineering IP) but structurally caps revenue growth at the pace of the domestic capex cycle plus occasional large overseas wins like Dangote - a genuine business-quality story, not a fast-growth one.</w:t>
      </w:r>
    </w:p>
    <w:p>
      <w:pPr>
        <w:spacing w:after="60" w:before="120"/>
      </w:pPr>
      <w:r>
        <w:rPr>
          <w:b/>
          <w:bCs/>
          <w:sz w:val="20"/>
          <w:szCs w:val="20"/>
        </w:rPr>
        <w:t xml:space="preserve">Earnings quality: </w:t>
      </w:r>
      <w:r>
        <w:rPr>
          <w:sz w:val="20"/>
          <w:szCs w:val="20"/>
        </w:rPr>
        <w:t xml:space="preserve">margin driver structural</w:t>
      </w:r>
      <w:r>
        <w:rPr>
          <w:b/>
          <w:bCs/>
          <w:color w:val="A32020"/>
          <w:sz w:val="20"/>
          <w:szCs w:val="20"/>
        </w:rPr>
        <w:t xml:space="preserve"/>
      </w:r>
    </w:p>
    <w:p>
      <w:pPr>
        <w:spacing w:after="120"/>
      </w:pPr>
      <w:r>
        <w:rPr>
          <w:color w:val="666666"/>
          <w:sz w:val="18"/>
          <w:szCs w:val="18"/>
        </w:rPr>
        <w:t xml:space="preserve">Drivers: Consultancy-mix shift (73% of order book, up from 56%) driving segment margin expansion (24% consultancy segment margin); Operating cash flow more than doubling (Rs 117cr -&gt; Rs 319cr) with CFO/operating-profit ratio improving 48%-&gt;70% - genuine cash-backed earnings quality.</w:t>
      </w:r>
    </w:p>
    <w:p>
      <w:pPr>
        <w:spacing w:after="120"/>
      </w:pPr>
      <w:r>
        <w:rPr>
          <w:color w:val="666666"/>
          <w:sz w:val="18"/>
          <w:szCs w:val="18"/>
        </w:rPr>
        <w:t xml:space="preserve">The Q1 FY27 margin jump (operating margin 7%-&gt;14%) is driven by a structural mix shift toward higher-margin consultancy work, not a one-off cyclical spike - and is corroborated by the FY26 cash-flow-conversion improvement, not just an accounting margin move.</w:t>
      </w:r>
    </w:p>
    <w:p>
      <w:pPr>
        <w:spacing w:after="60" w:before="120"/>
      </w:pPr>
      <w:r>
        <w:rPr>
          <w:b/>
          <w:bCs/>
          <w:sz w:val="20"/>
          <w:szCs w:val="20"/>
        </w:rPr>
        <w:t xml:space="preserve">Growth trajectory: </w:t>
      </w:r>
      <w:r>
        <w:rPr>
          <w:b w:val="false"/>
          <w:bCs w:val="false"/>
          <w:sz w:val="20"/>
          <w:szCs w:val="20"/>
        </w:rPr>
        <w:t xml:space="preserve">YoY growth rate is lumpy</w:t>
      </w:r>
    </w:p>
    <w:p>
      <w:pPr>
        <w:spacing w:after="120"/>
      </w:pPr>
      <w:r>
        <w:rPr>
          <w:color w:val="666666"/>
          <w:sz w:val="18"/>
          <w:szCs w:val="18"/>
        </w:rPr>
        <w:t xml:space="preserve">Q1 FY27: overall revenue -5.8% YoY (turnkey segment tapering as large projects wind down) but consultancy revenue +22% YoY; PAT +141-145% YoY on margin expansion. Long-run: 10-yr sales CAGR 10%, 5-yr CAGR 5%, 3-yr CAGR 6% - confirmed genuinely modest and lumpy, consistent with a PSU order-book-driven business.</w:t>
      </w:r>
    </w:p>
    <w:p>
      <w:pPr>
        <w:spacing w:after="120"/>
      </w:pPr>
      <w:r>
        <w:rPr>
          <w:color w:val="666666"/>
          <w:sz w:val="18"/>
          <w:szCs w:val="18"/>
        </w:rPr>
        <w:t xml:space="preserve">Reverse P/E: ~18.7x trailing P/E is reasonable, even cheap, if the consultancy-mix-shift margin story and the Dangote contract sustain PAT growth well above the historical 5-10% revenue CAGR.</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Capital allocation</w:t>
            </w:r>
          </w:p>
        </w:tc>
        <w:tc>
          <w:tcPr>
            <w:tcW w:type="dxa" w:w="5800"/>
          </w:tcPr>
          <w:p>
            <w:r>
              <w:t xml:space="preserve">Debt-free/net-cash balance sheet maintained while funding growth; dividend payout held at 39-41% of earnings - a disciplined, shareholder-friendly PSU capital-allocation approach. (disciplined)</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reliable</w:t>
            </w:r>
          </w:p>
        </w:tc>
      </w:tr>
      <w:tr>
        <w:tc>
          <w:tcPr>
            <w:tcW w:type="dxa" w:w="3200"/>
            <w:shd w:fill="F2F2F2" w:val="clear"/>
          </w:tcPr>
          <w:p>
            <w:r>
              <w:rPr>
                <w:b/>
                <w:bCs/>
              </w:rPr>
              <w:t xml:space="preserve">Shareholder returns</w:t>
            </w:r>
          </w:p>
        </w:tc>
        <w:tc>
          <w:tcPr>
            <w:tcW w:type="dxa" w:w="5800"/>
          </w:tcPr>
          <w:p>
            <w:r>
              <w:t xml:space="preserve">consistent</w:t>
            </w:r>
          </w:p>
        </w:tc>
      </w:tr>
      <w:tr>
        <w:tc>
          <w:tcPr>
            <w:tcW w:type="dxa" w:w="3200"/>
            <w:shd w:fill="F2F2F2" w:val="clear"/>
          </w:tcPr>
          <w:p>
            <w:r>
              <w:rPr>
                <w:b/>
                <w:bCs/>
              </w:rPr>
              <w:t xml:space="preserve">Capability ladder / VAP</w:t>
            </w:r>
          </w:p>
        </w:tc>
        <w:tc>
          <w:tcPr>
            <w:tcW w:type="dxa" w:w="5800"/>
          </w:tcPr>
          <w:p>
            <w:r>
              <w:t xml:space="preserve">Explicit strategic shift toward higher-margin consultancy/PMC work (now 73% of order book) and overseas expansion (Dangote) beyond pure domestic turnkey EPC execution - a genuine, now partly evidenced, capability-ladder move.</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ROCE</w:t>
            </w:r>
          </w:p>
        </w:tc>
        <w:tc>
          <w:tcPr>
            <w:tcW w:type="dxa" w:w="5800"/>
          </w:tcPr>
          <w:p>
            <w:r>
              <w:t xml:space="preserve">30.4% (improving)</w:t>
            </w:r>
          </w:p>
        </w:tc>
      </w:tr>
      <w:tr>
        <w:tc>
          <w:tcPr>
            <w:tcW w:type="dxa" w:w="3200"/>
            <w:shd w:fill="F2F2F2" w:val="clear"/>
          </w:tcPr>
          <w:p>
            <w:r>
              <w:rPr>
                <w:b/>
                <w:bCs/>
              </w:rPr>
              <w:t xml:space="preserve">Leverage</w:t>
            </w:r>
          </w:p>
        </w:tc>
        <w:tc>
          <w:tcPr>
            <w:tcW w:type="dxa" w:w="5800"/>
          </w:tcPr>
          <w:p>
            <w:r>
              <w:t xml:space="preserve">Net debt/EBITDA -1x</w:t>
            </w:r>
          </w:p>
        </w:tc>
      </w:tr>
      <w:tr>
        <w:tc>
          <w:tcPr>
            <w:tcW w:type="dxa" w:w="3200"/>
            <w:shd w:fill="F2F2F2" w:val="clear"/>
          </w:tcPr>
          <w:p>
            <w:r>
              <w:rPr>
                <w:b/>
                <w:bCs/>
              </w:rPr>
              <w:t xml:space="preserve">FCF conversion</w:t>
            </w:r>
          </w:p>
        </w:tc>
        <w:tc>
          <w:tcPr>
            <w:tcW w:type="dxa" w:w="5800"/>
          </w:tcPr>
          <w:p>
            <w:r>
              <w:t xml:space="preserve">70%</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neutral</w:t>
            </w:r>
          </w:p>
        </w:tc>
      </w:tr>
    </w:tbl>
    <w:p>
      <w:pPr>
        <w:pStyle w:val="Heading1"/>
        <w:spacing w:after="120" w:before="280"/>
      </w:pPr>
      <w:r>
        <w:t xml:space="preserve">Technical Read (Weekly / Monthly MACD + Bollinger Bands, or RSI/CCI/Williams %R proxy)</w:t>
      </w:r>
    </w:p>
    <w:p>
      <w:pPr>
        <w:spacing w:after="120"/>
      </w:pPr>
      <w:r>
        <w:t xml:space="preserve">Trading at ~Rs 261, nearer the middle-to-upper end of its ~Rs 163.55-267 52-week range - not pulled in further detail this pass.</w:t>
      </w:r>
    </w:p>
    <w:p>
      <w:pPr>
        <w:pStyle w:val="Heading1"/>
        <w:spacing w:after="120" w:before="280"/>
      </w:pPr>
      <w:r>
        <w:t xml:space="preserve">ValuePickr Community Signal</w:t>
      </w:r>
    </w:p>
    <w:p>
      <w:pPr>
        <w:spacing w:after="120"/>
      </w:pPr>
      <w:r>
        <w:t xml:space="preserve">No forum deep-dive performed (large-cap, fast-triage protocol, unchanged this pass). Broker commentary (ICICI Direct, Prabhudas Lilladher) remains constructive, citing consultancy momentum and global expansion.</w:t>
      </w:r>
    </w:p>
    <w:p>
      <w:pPr>
        <w:spacing w:after="120"/>
      </w:pPr>
      <w:r>
        <w:rPr>
          <w:b/>
          <w:bCs/>
          <w:sz w:val="20"/>
          <w:szCs w:val="20"/>
        </w:rPr>
        <w:t xml:space="preserve">High-conviction call from a top contributor: </w:t>
      </w:r>
      <w:r>
        <w:rPr>
          <w:sz w:val="20"/>
          <w:szCs w:val="20"/>
        </w:rPr>
        <w:t xml:space="preserve">None sought this pass (large-cap fast triage).</w:t>
      </w:r>
    </w:p>
    <w:p>
      <w:pPr>
        <w:pStyle w:val="Heading1"/>
        <w:spacing w:after="120" w:before="280"/>
      </w:pPr>
      <w:r>
        <w:t xml:space="preserve">BSE Corporate Actions / Other Red Flags</w:t>
      </w:r>
    </w:p>
    <w:p>
      <w:pPr>
        <w:spacing w:after="120"/>
      </w:pPr>
      <w:r>
        <w:t xml:space="preserve">No red flags surfaced this pass either. PSU with a debt-free/net-cash balance sheet, zero promoter pledge, and a maintained 39-41% dividend payout - a clean, shareholder-friendly capital-allocation profile.</w:t>
      </w:r>
    </w:p>
    <w:p>
      <w:pPr>
        <w:pStyle w:val="Heading1"/>
        <w:spacing w:after="120" w:before="280"/>
      </w:pPr>
      <w:r>
        <w:t xml:space="preserve">Bull Case</w:t>
      </w:r>
    </w:p>
    <w:p>
      <w:pPr>
        <w:pStyle w:val="ListParagraph"/>
        <w:numPr>
          <w:ilvl w:val="0"/>
          <w:numId w:val="1"/>
        </w:numPr>
        <w:spacing w:after="60"/>
      </w:pPr>
      <w:r>
        <w:t xml:space="preserve">CONFIRMED, STRENGTHENED: ROCE at a multi-year high (30.4% FY26) and operating cash flow more than doubling (Rs 117cr -&gt; Rs 319cr) with the CFO/operating-profit ratio improving from 48% to 70% - a genuine, not just headline, quality-of-earnings improvement</w:t>
      </w:r>
    </w:p>
    <w:p>
      <w:pPr>
        <w:pStyle w:val="ListParagraph"/>
        <w:numPr>
          <w:ilvl w:val="0"/>
          <w:numId w:val="1"/>
        </w:numPr>
        <w:spacing w:after="60"/>
      </w:pPr>
      <w:r>
        <w:t xml:space="preserve">Record order book (~Rs 14,424 Cr) with consultancy now 73% of backlog (up from 56% a year ago) - a real structural mix shift toward the higher-margin segment, already showing up in Q1 FY27's margin expansion (operating margin 7%-&gt;14%)</w:t>
      </w:r>
    </w:p>
    <w:p>
      <w:pPr>
        <w:pStyle w:val="ListParagraph"/>
        <w:numPr>
          <w:ilvl w:val="0"/>
          <w:numId w:val="1"/>
        </w:numPr>
        <w:spacing w:after="60"/>
      </w:pPr>
      <w:r>
        <w:t xml:space="preserve">A confirmed, named, substantial overseas contract: $350mn+ Dangote (Nigeria) refinery-expansion PMC/EPCM award (Jan 2026) - genuine multi-year revenue visibility distinct from the domestic PSU-capex cycle</w:t>
      </w:r>
    </w:p>
    <w:p>
      <w:pPr>
        <w:pStyle w:val="ListParagraph"/>
        <w:numPr>
          <w:ilvl w:val="0"/>
          <w:numId w:val="1"/>
        </w:numPr>
        <w:spacing w:after="60"/>
      </w:pPr>
      <w:r>
        <w:t xml:space="preserve">Debt-free/net cash, zero promoter pledge, healthy and stable debtor days (45 days), maintained 39-41% dividend payout - a clean, low-risk PSU balance sheet</w:t>
      </w:r>
    </w:p>
    <w:p>
      <w:pPr>
        <w:pStyle w:val="Heading1"/>
        <w:spacing w:after="120" w:before="280"/>
      </w:pPr>
      <w:r>
        <w:t xml:space="preserve">Bear Case / Key Risks</w:t>
      </w:r>
    </w:p>
    <w:p>
      <w:pPr>
        <w:pStyle w:val="ListParagraph"/>
        <w:numPr>
          <w:ilvl w:val="0"/>
          <w:numId w:val="1"/>
        </w:numPr>
        <w:spacing w:after="60"/>
      </w:pPr>
      <w:r>
        <w:t xml:space="preserve">Confirmed: long-run revenue growth remains genuinely modest (10-yr CAGR 10%, 5-yr CAGR 5%, 3-yr CAGR 6%) - the current inflection is real but doesn't change the structural growth-rate ceiling of a large PSU EPC/consultancy business</w:t>
      </w:r>
    </w:p>
    <w:p>
      <w:pPr>
        <w:pStyle w:val="ListParagraph"/>
        <w:numPr>
          <w:ilvl w:val="0"/>
          <w:numId w:val="1"/>
        </w:numPr>
        <w:spacing w:after="60"/>
      </w:pPr>
      <w:r>
        <w:t xml:space="preserve">The 'Green Hydrogen mandate' from the original write-up reads more as capability positioning (decades of Hydrogen/Ammonia engineering experience) than a specific, already-won contract - no concrete Green Hydrogen order was found this pass</w:t>
      </w:r>
    </w:p>
    <w:p>
      <w:pPr>
        <w:pStyle w:val="ListParagraph"/>
        <w:numPr>
          <w:ilvl w:val="0"/>
          <w:numId w:val="1"/>
        </w:numPr>
        <w:spacing w:after="60"/>
      </w:pPr>
      <w:r>
        <w:t xml:space="preserve">PSU order-book business remains inherently lumpy (feast-famine); Q1 FY27's overall revenue actually declined 5.8% YoY as the turnkey segment tapered, even though margin/PAT improved sharply</w:t>
      </w:r>
    </w:p>
    <w:p>
      <w:pPr>
        <w:pStyle w:val="ListParagraph"/>
        <w:numPr>
          <w:ilvl w:val="0"/>
          <w:numId w:val="1"/>
        </w:numPr>
        <w:spacing w:after="60"/>
      </w:pPr>
      <w:r>
        <w:t xml:space="preserve">Large-cap PSU - regardless of the genuine inflection, this remains outside the return-magnitude (10x/100x) bracket this screen targets</w:t>
      </w:r>
    </w:p>
    <w:p>
      <w:pPr>
        <w:pStyle w:val="ListParagraph"/>
        <w:numPr>
          <w:ilvl w:val="0"/>
          <w:numId w:val="1"/>
        </w:numPr>
        <w:spacing w:after="60"/>
      </w:pPr>
      <w:r>
        <w:t xml:space="preserve">Dependent on domestic hydrocarbon capex cycle (refinery/CGD expansions) which is itself policy- and oil-price-sensitive, alongside execution risk on the large overseas Dangote contract</w:t>
      </w:r>
    </w:p>
    <w:p>
      <w:pPr>
        <w:pStyle w:val="Heading1"/>
        <w:spacing w:after="120" w:before="280"/>
      </w:pPr>
      <w:r>
        <w:t xml:space="preserve">Market-Cap Tier (informational — not a gate in this project)</w:t>
      </w:r>
    </w:p>
    <w:p>
      <w:pPr>
        <w:spacing w:after="120"/>
      </w:pPr>
      <w:r>
        <w:rPr>
          <w:b/>
          <w:bCs/>
        </w:rPr>
        <w:t xml:space="preserve">Large-cap (~Rs 14,655 Cr) - PSU</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yes · moat: yes · valuation: weak  (score 3.5 / 4)</w:t>
      </w:r>
    </w:p>
    <w:p>
      <w:pPr>
        <w:spacing w:after="120"/>
      </w:pPr>
      <w:r>
        <w:rPr>
          <w:i/>
          <w:iCs/>
          <w:color w:val="666666"/>
          <w:sz w:val="20"/>
          <w:szCs w:val="20"/>
        </w:rPr>
        <w:t xml:space="preserve">Named inflection overrides the large-cap tam:no default: record consultancy-heavy order book (73% of backlog), a confirmed $350mn+ Dangote overseas contract, and now-visible margin expansion (Q1 FY27 operating margin 7%-&gt;14%). Valuation weak given the confirmed, still-modest 5-10% long-run revenue CAGR despite the strong current-year inflection.</w:t>
      </w:r>
    </w:p>
    <w:p>
      <w:pPr>
        <w:pStyle w:val="Heading1"/>
        <w:spacing w:after="120" w:before="280"/>
      </w:pPr>
      <w:r>
        <w:t xml:space="preserve">Verdict</w:t>
      </w:r>
    </w:p>
    <w:p>
      <w:pPr>
        <w:spacing w:after="120"/>
      </w:pPr>
      <w:r>
        <w:rPr>
          <w:b/>
          <w:bCs/>
          <w:sz w:val="24"/>
          <w:szCs w:val="24"/>
        </w:rPr>
        <w:t xml:space="preserve">This pass confirms and strengthens the original 'genuine inflection' read: ROCE at a multi-year high, operating cash flow more than doubling with much-improved conversion, and a confirmed $350mn+ named Dangote overseas contract - a large-cap PSU with a real, cash-backed improvement, not just a cyclical order-book story. thesis_fit stays 'neither' on size grounds alone; conviction upgraded to Medium-High.</w:t>
      </w:r>
    </w:p>
    <w:p>
      <w:pPr>
        <w:pStyle w:val="ListParagraph"/>
        <w:numPr>
          <w:ilvl w:val="0"/>
          <w:numId w:val="1"/>
        </w:numPr>
        <w:spacing w:after="60"/>
      </w:pPr>
      <w:r>
        <w:t xml:space="preserve">Large-cap (~Rs 14,655 Cr): per protocol, tam defaults 'no' unless a specific named inflection is found. This pass reconfirms and strengthens the inflection originally identified: the Dangote contract is now confirmed as a real, dated, named $350mn+ award (not just a rumoured overseas push), and the consultancy-mix-shift thesis is now visible in actual Q1 FY27 margin results (operating margin 7%-&gt;14%).</w:t>
      </w:r>
    </w:p>
    <w:p>
      <w:pPr>
        <w:pStyle w:val="ListParagraph"/>
        <w:numPr>
          <w:ilvl w:val="0"/>
          <w:numId w:val="1"/>
        </w:numPr>
        <w:spacing w:after="60"/>
      </w:pPr>
      <w:r>
        <w:t xml:space="preserve">four_box unchanged at 3.5 (tailwind yes, tam yes via override, moat yes - PSU incumbency plus deep hydrocarbon/hydrogen engineering know-how, valuation weak given the still-modest long-run revenue CAGR) - the box mechanics don't change, but confidence within them is materially higher this pass given the cash-flow and margin evidence.</w:t>
      </w:r>
    </w:p>
    <w:p>
      <w:pPr>
        <w:pStyle w:val="ListParagraph"/>
        <w:numPr>
          <w:ilvl w:val="0"/>
          <w:numId w:val="1"/>
        </w:numPr>
        <w:spacing w:after="60"/>
      </w:pPr>
      <w:r>
        <w:t xml:space="preserve">Even with a stronger-than-believed inflection, a large-cap PSU EPC/consultancy business is structurally outside the return-magnitude bracket this screen targets - thesis_fit kept 'neither', unchanged from the original call.</w:t>
      </w:r>
    </w:p>
    <w:p>
      <w:pPr>
        <w:pStyle w:val="ListParagraph"/>
        <w:numPr>
          <w:ilvl w:val="0"/>
          <w:numId w:val="1"/>
        </w:numPr>
        <w:spacing w:after="60"/>
      </w:pPr>
      <w:r>
        <w:t xml:space="preserve">Conviction upgraded Medium -&gt; Medium-High: this pass found no new red flags, and instead found the underlying financial quality (cash conversion, ROCE, debtor days) meaningfully better than the original assessment credited - a genuine confirmatory upgrade, not just a reaffirmation.</w:t>
      </w:r>
    </w:p>
    <w:p>
      <w:pPr>
        <w:pStyle w:val="ListParagraph"/>
        <w:numPr>
          <w:ilvl w:val="0"/>
          <w:numId w:val="1"/>
        </w:numPr>
        <w:spacing w:after="60"/>
      </w:pPr>
      <w:r>
        <w:t xml:space="preserve">No forum deep-dive performed per fast-triage protocol, unchanged from the original pass.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2026-09-16T14:56:25.890Z</dcterms:created>
  <dcterms:modified xsi:type="dcterms:W3CDTF">2026-09-16T14:56:25.896Z</dcterms:modified>
</cp:coreProperties>
</file>

<file path=docProps/custom.xml><?xml version="1.0" encoding="utf-8"?>
<Properties xmlns="http://schemas.openxmlformats.org/officeDocument/2006/custom-properties" xmlns:vt="http://schemas.openxmlformats.org/officeDocument/2006/docPropsVTypes"/>
</file>