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Proventus Agrocom Ltd</w:t>
      </w:r>
    </w:p>
    <w:p>
      <w:pPr>
        <w:pBdr>
          <w:bottom w:val="single" w:color="CCCCCC" w:sz="6" w:space="8"/>
        </w:pBdr>
        <w:spacing w:after="200"/>
      </w:pPr>
      <w:r>
        <w:rPr>
          <w:i/>
          <w:iCs/>
          <w:color w:val="666666"/>
          <w:sz w:val="22"/>
          <w:szCs w:val="22"/>
        </w:rPr>
        <w:t xml:space="preserve">Small-cap branded health-food company (dry fruits, nuts, seeds, berries, healthy snacking) with genuinely improving fundamentals this pass - ROCE up from 7% to 12%, operating and free cash flow both turning positive after years negative, no pledge, and a raised FY28 revenue target - but this pass also found a confirmed STATUTORY auditor resignation (NBT &amp; Co., mid-way through its 5-year term) that the original 'no red flags' pass missed.</w:t>
      </w:r>
    </w:p>
    <w:p>
      <w:pPr>
        <w:shd w:fill="FFF0F0" w:val="clear"/>
        <w:spacing w:after="200"/>
      </w:pPr>
      <w:r>
        <w:rPr>
          <w:b/>
          <w:bCs/>
          <w:color w:val="B8860B"/>
          <w:sz w:val="22"/>
          <w:szCs w:val="22"/>
        </w:rPr>
        <w:t xml:space="preserve">RED FLAG TIER: HIGH CAUTION — </w:t>
      </w:r>
      <w:r>
        <w:rPr>
          <w:sz w:val="20"/>
          <w:szCs w:val="20"/>
        </w:rPr>
        <w:t xml:space="preserve">Statutory auditor NBT &amp; Co. (appointed for a 5-year term running through 2028) resigned mid-term, creating a casual vacancy that the board must fill by ordinary resolution - the specific resignation reason was not disclosed in the sources reviewed this pass. This is the named auditor-resignation HIGH CAUTION trigger, and is more serious than an internal or secretarial auditor change given it involves the primary statutory (financial-statement) auditor.</w:t>
      </w:r>
    </w:p>
    <w:p>
      <w:pPr>
        <w:pStyle w:val="Heading1"/>
        <w:spacing w:after="120" w:before="280"/>
      </w:pPr>
      <w:r>
        <w:t xml:space="preserve">Business Overview</w:t>
      </w:r>
    </w:p>
    <w:p>
      <w:pPr>
        <w:spacing w:after="120"/>
      </w:pPr>
      <w:r>
        <w:t xml:space="preserve">Proventus Agrocom Ltd (NSE: PROV), incorporated 2015, is an integrated branded health-food company spanning dry fruits, nuts, seeds, berries and healthy-snacking products under the 'ProV' brand (ProV Select, Premium, Regal, Flavors, Fusion, Minis, Indulgence), riding the shift from unorganized/loose dry-fruit trade to organized, branded retail and modern-trade/e-commerce/export channels. Its stated strategy is to first master trading/distribution of a product category (building margin and demand/supply knowledge) before progressing up the value chain into branded retail - which explains the historically thin blended EBITDA margin (a mix of low-margin trading and higher-margin branded revenue). Scaling manufacturing capacity across Mumbai (47,000 sq.ft., 1.5 lakh pouches/day, fully operational) and a new Surat, Gujarat facility (2,00,000 sq.ft., Phase 1 ready, targeting 4+ lakh pouches/day combined by FY27).</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570 Cr (price ~Rs 1,650)</w:t>
            </w:r>
          </w:p>
        </w:tc>
      </w:tr>
      <w:tr>
        <w:tc>
          <w:tcPr>
            <w:tcW w:type="dxa" w:w="3200"/>
            <w:shd w:fill="F2F2F2" w:val="clear"/>
          </w:tcPr>
          <w:p>
            <w:r>
              <w:rPr>
                <w:b/>
                <w:bCs/>
              </w:rPr>
              <w:t xml:space="preserve">Stock P/E</w:t>
            </w:r>
          </w:p>
        </w:tc>
        <w:tc>
          <w:tcPr>
            <w:tcW w:type="dxa" w:w="5800"/>
          </w:tcPr>
          <w:p>
            <w:r>
              <w:t xml:space="preserve">~41.1x trailing</w:t>
            </w:r>
          </w:p>
        </w:tc>
      </w:tr>
      <w:tr>
        <w:tc>
          <w:tcPr>
            <w:tcW w:type="dxa" w:w="3200"/>
            <w:shd w:fill="F2F2F2" w:val="clear"/>
          </w:tcPr>
          <w:p>
            <w:r>
              <w:rPr>
                <w:b/>
                <w:bCs/>
              </w:rPr>
              <w:t xml:space="preserve">ROCE trend</w:t>
            </w:r>
          </w:p>
        </w:tc>
        <w:tc>
          <w:tcPr>
            <w:tcW w:type="dxa" w:w="5800"/>
          </w:tcPr>
          <w:p>
            <w:r>
              <w:t xml:space="preserve">7% (FY24) -&gt; 12% (FY25) - improving, not the static ~11.5% the original pass implied</w:t>
            </w:r>
          </w:p>
        </w:tc>
      </w:tr>
      <w:tr>
        <w:tc>
          <w:tcPr>
            <w:tcW w:type="dxa" w:w="3200"/>
            <w:shd w:fill="F2F2F2" w:val="clear"/>
          </w:tcPr>
          <w:p>
            <w:r>
              <w:rPr>
                <w:b/>
                <w:bCs/>
              </w:rPr>
              <w:t xml:space="preserve">ROE</w:t>
            </w:r>
          </w:p>
        </w:tc>
        <w:tc>
          <w:tcPr>
            <w:tcW w:type="dxa" w:w="5800"/>
          </w:tcPr>
          <w:p>
            <w:r>
              <w:t xml:space="preserve">10% (FY26); 3-yr average ~6.25% - low in absolute terms but improving</w:t>
            </w:r>
          </w:p>
        </w:tc>
      </w:tr>
      <w:tr>
        <w:tc>
          <w:tcPr>
            <w:tcW w:type="dxa" w:w="3200"/>
            <w:shd w:fill="F2F2F2" w:val="clear"/>
          </w:tcPr>
          <w:p>
            <w:r>
              <w:rPr>
                <w:b/>
                <w:bCs/>
              </w:rPr>
              <w:t xml:space="preserve">Revenue (FY24/25/26)</w:t>
            </w:r>
          </w:p>
        </w:tc>
        <w:tc>
          <w:tcPr>
            <w:tcW w:type="dxa" w:w="5800"/>
          </w:tcPr>
          <w:p>
            <w:r>
              <w:t xml:space="preserve">Rs 497 Cr -&gt; Rs 581 Cr (+16.9%) -&gt; Rs 925 Cr (+59.2%) - accelerating</w:t>
            </w:r>
          </w:p>
        </w:tc>
      </w:tr>
      <w:tr>
        <w:tc>
          <w:tcPr>
            <w:tcW w:type="dxa" w:w="3200"/>
            <w:shd w:fill="F2F2F2" w:val="clear"/>
          </w:tcPr>
          <w:p>
            <w:r>
              <w:rPr>
                <w:b/>
                <w:bCs/>
              </w:rPr>
              <w:t xml:space="preserve">PAT (FY24/25/26)</w:t>
            </w:r>
          </w:p>
        </w:tc>
        <w:tc>
          <w:tcPr>
            <w:tcW w:type="dxa" w:w="5800"/>
          </w:tcPr>
          <w:p>
            <w:r>
              <w:t xml:space="preserve">Rs 7 Cr -&gt; Rs 7 Cr (flat) -&gt; Rs 14 Cr (+100%) - a real inflection in FY26</w:t>
            </w:r>
          </w:p>
        </w:tc>
      </w:tr>
      <w:tr>
        <w:tc>
          <w:tcPr>
            <w:tcW w:type="dxa" w:w="3200"/>
            <w:shd w:fill="F2F2F2" w:val="clear"/>
          </w:tcPr>
          <w:p>
            <w:r>
              <w:rPr>
                <w:b/>
                <w:bCs/>
              </w:rPr>
              <w:t xml:space="preserve">Debt</w:t>
            </w:r>
          </w:p>
        </w:tc>
        <w:tc>
          <w:tcPr>
            <w:tcW w:type="dxa" w:w="5800"/>
          </w:tcPr>
          <w:p>
            <w:r>
              <w:t xml:space="preserve">Borrowings Rs 2 Cr (FY24) -&gt; Rs 22 Cr (FY25) -&gt; Rs 27 Cr (FY26), funding the Surat capacity build; D/E still low at ~0.17</w:t>
            </w:r>
          </w:p>
        </w:tc>
      </w:tr>
      <w:tr>
        <w:tc>
          <w:tcPr>
            <w:tcW w:type="dxa" w:w="3200"/>
            <w:shd w:fill="F2F2F2" w:val="clear"/>
          </w:tcPr>
          <w:p>
            <w:r>
              <w:rPr>
                <w:b/>
                <w:bCs/>
              </w:rPr>
              <w:t xml:space="preserve">Cash flow</w:t>
            </w:r>
          </w:p>
        </w:tc>
        <w:tc>
          <w:tcPr>
            <w:tcW w:type="dxa" w:w="5800"/>
          </w:tcPr>
          <w:p>
            <w:r>
              <w:t xml:space="preserve">Operating cash flow turned positive (+Rs 9 Cr FY26 vs -Rs 2 Cr FY25); free cash flow turned positive (+Rs 7 Cr FY26) after years negative</w:t>
            </w:r>
          </w:p>
        </w:tc>
      </w:tr>
      <w:tr>
        <w:tc>
          <w:tcPr>
            <w:tcW w:type="dxa" w:w="3200"/>
            <w:shd w:fill="F2F2F2" w:val="clear"/>
          </w:tcPr>
          <w:p>
            <w:r>
              <w:rPr>
                <w:b/>
                <w:bCs/>
              </w:rPr>
              <w:t xml:space="preserve">Promoter holding</w:t>
            </w:r>
          </w:p>
        </w:tc>
        <w:tc>
          <w:tcPr>
            <w:tcW w:type="dxa" w:w="5800"/>
          </w:tcPr>
          <w:p>
            <w:r>
              <w:t xml:space="preserve">67.21-67.34% (Mar 2026), down modestly ~3.63pp over 3 years; 0% pledge</w:t>
            </w:r>
          </w:p>
        </w:tc>
      </w:tr>
      <w:tr>
        <w:tc>
          <w:tcPr>
            <w:tcW w:type="dxa" w:w="3200"/>
            <w:shd w:fill="F2F2F2" w:val="clear"/>
          </w:tcPr>
          <w:p>
            <w:r>
              <w:rPr>
                <w:b/>
                <w:bCs/>
              </w:rPr>
              <w:t xml:space="preserve">FY28 target</w:t>
            </w:r>
          </w:p>
        </w:tc>
        <w:tc>
          <w:tcPr>
            <w:tcW w:type="dxa" w:w="5800"/>
          </w:tcPr>
          <w:p>
            <w:r>
              <w:t xml:space="preserve">Raised to Rs 1,100 Cr from Rs 1,000 Cr</w:t>
            </w:r>
          </w:p>
        </w:tc>
      </w:tr>
    </w:tbl>
    <w:p>
      <w:pPr>
        <w:spacing w:after="100"/>
      </w:pPr>
    </w:p>
    <w:p>
      <w:pPr>
        <w:spacing w:after="120"/>
      </w:pPr>
      <w:r>
        <w:t xml:space="preserve">This deep-dive pass finds a genuinely improving picture on nearly every operating metric, a positive contrast to the original pass's more static framing: ROCE has moved from 7% (FY24) to 12% (FY25), not sat flat at ~11.5%; PAT was flat FY24-FY25 (Rs 7 Cr both years) before a real inflection to Rs 14 Cr in FY26 (+100%); and - most notably - both operating cash flow and free cash flow turned positive in FY26 (+Rs 9 Cr and +Rs 7 Cr respectively) after being negative in prior years, a genuine quality-of-earnings improvement rather than the negative-cash-flow-despite-profit pattern found in several other names reviewed in this project's recent batches. The Surat facility (Phase 1 ready) is on track to lift combined pouch capacity from 1.5 lakh to 4+ lakh/day by FY27, and management raised its FY28 revenue target to Rs 1,100 Cr from Rs 1,000 Cr - a positive guidance revision, not a cut. Promoter holding is stable-to-modestly-declining (67.21-67.34%) with zero pledge. However, this pass also found a confirmed, dated fact the original 'no red flags' light pass did not check for: Proventus's STATUTORY auditor, NBT &amp; Co. (appointed for a 5-year term running to 2028), resigned mid-term, creating a casual vacancy that the board must fill by ordinary resolution. This is a more serious event than an internal or secretarial auditor change - a statutory auditor resigning before its term concludes is the specific, named HIGH CAUTION trigger this project's framework watches for, and the reason for the resignation was not disclosed in the sources reviewed this pass.</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2026-09-16.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consolidated financials (ROCE/ROE trend, annual sales/PAT, debt, operating/free cash flow, promoter shareholding)</w:t>
      </w:r>
    </w:p>
    <w:p>
      <w:pPr>
        <w:pStyle w:val="ListParagraph"/>
        <w:numPr>
          <w:ilvl w:val="0"/>
          <w:numId w:val="1"/>
        </w:numPr>
        <w:spacing w:after="60"/>
      </w:pPr>
      <w:r>
        <w:t xml:space="preserve">NSE investor presentation and scanx.trade coverage (Surat capacity plans, FY28 target revision)</w:t>
      </w:r>
    </w:p>
    <w:p>
      <w:pPr>
        <w:pStyle w:val="ListParagraph"/>
        <w:numPr>
          <w:ilvl w:val="0"/>
          <w:numId w:val="1"/>
        </w:numPr>
        <w:spacing w:after="60"/>
      </w:pPr>
      <w:r>
        <w:t xml:space="preserve">NSE corporate filings (statutory auditor resignation/casual-vacancy disclosure)</w:t>
      </w:r>
    </w:p>
    <w:p>
      <w:pPr>
        <w:pStyle w:val="ListParagraph"/>
        <w:numPr>
          <w:ilvl w:val="0"/>
          <w:numId w:val="1"/>
        </w:numPr>
        <w:spacing w:after="60"/>
      </w:pPr>
      <w:r>
        <w:t xml:space="preserve">Web search for auditor/litigation/SEBI status</w:t>
      </w:r>
    </w:p>
    <w:p>
      <w:pPr>
        <w:spacing w:after="120"/>
      </w:pPr>
      <w:r>
        <w:rPr>
          <w:b/>
          <w:bCs/>
          <w:sz w:val="20"/>
          <w:szCs w:val="20"/>
        </w:rPr>
        <w:t xml:space="preserve">Annual-report findings (3-year view):</w:t>
      </w:r>
    </w:p>
    <w:p>
      <w:pPr>
        <w:pStyle w:val="ListParagraph"/>
        <w:numPr>
          <w:ilvl w:val="0"/>
          <w:numId w:val="1"/>
        </w:numPr>
        <w:spacing w:after="60"/>
      </w:pPr>
      <w:r>
        <w:t xml:space="preserve">ROCE improved from 7% (FY24) to 12% (FY25) - a genuine positive trend, not the static ~11.5% figure the original pass implied.</w:t>
      </w:r>
    </w:p>
    <w:p>
      <w:pPr>
        <w:pStyle w:val="ListParagraph"/>
        <w:numPr>
          <w:ilvl w:val="0"/>
          <w:numId w:val="1"/>
        </w:numPr>
        <w:spacing w:after="60"/>
      </w:pPr>
      <w:r>
        <w:t xml:space="preserve">PAT was flat FY24-FY25 (Rs 7 Cr both years) before inflecting to Rs 14 Cr in FY26 (+100%).</w:t>
      </w:r>
    </w:p>
    <w:p>
      <w:pPr>
        <w:pStyle w:val="ListParagraph"/>
        <w:numPr>
          <w:ilvl w:val="0"/>
          <w:numId w:val="1"/>
        </w:numPr>
        <w:spacing w:after="60"/>
      </w:pPr>
      <w:r>
        <w:t xml:space="preserve">Operating cash flow turned positive in FY26 (+Rs 9 Cr vs -Rs 2 Cr FY25); free cash flow also turned positive (+Rs 7 Cr) after years negative - a real quality-of-earnings improvement.</w:t>
      </w:r>
    </w:p>
    <w:p>
      <w:pPr>
        <w:pStyle w:val="ListParagraph"/>
        <w:numPr>
          <w:ilvl w:val="0"/>
          <w:numId w:val="1"/>
        </w:numPr>
        <w:spacing w:after="60"/>
      </w:pPr>
      <w:r>
        <w:t xml:space="preserve">Statutory auditor NBT &amp; Co. (appointed for a 5-year term through 2028) resigned mid-term, creating a casual vacancy - the resignation reason was not disclosed in sources reviewed this pass.</w:t>
      </w:r>
    </w:p>
    <w:p>
      <w:pPr>
        <w:pStyle w:val="ListParagraph"/>
        <w:numPr>
          <w:ilvl w:val="0"/>
          <w:numId w:val="1"/>
        </w:numPr>
        <w:spacing w:after="60"/>
      </w:pPr>
      <w:r>
        <w:t xml:space="preserve">Promoter holding stable-to-modestly-declining (67.21-67.34%, -3.63pp over 3 years), zero pledge.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Half-yearly: Sep 2025 Rs 390 Cr sales / Rs 7 Cr PAT -&gt; Mar 2026 Rs 535 Cr sales / Rs 8 Cr PAT - continued growth through FY26's second half.</w:t>
      </w:r>
    </w:p>
    <w:p>
      <w:pPr>
        <w:spacing w:after="120"/>
      </w:pPr>
      <w:r>
        <w:rPr>
          <w:b/>
          <w:bCs/>
          <w:sz w:val="20"/>
          <w:szCs w:val="20"/>
        </w:rPr>
        <w:t xml:space="preserve">Exchange announcements (last 6 months):</w:t>
      </w:r>
    </w:p>
    <w:p>
      <w:pPr>
        <w:pStyle w:val="ListParagraph"/>
        <w:numPr>
          <w:ilvl w:val="0"/>
          <w:numId w:val="1"/>
        </w:numPr>
        <w:spacing w:after="60"/>
      </w:pPr>
      <w:r>
        <w:t xml:space="preserve">FY26 results approved at the May 15, 2026 board meeting, alongside a Code of Practices update for UPSI disclosure.</w:t>
      </w:r>
    </w:p>
    <w:p>
      <w:pPr>
        <w:pStyle w:val="ListParagraph"/>
        <w:numPr>
          <w:ilvl w:val="0"/>
          <w:numId w:val="1"/>
        </w:numPr>
        <w:spacing w:after="60"/>
      </w:pPr>
      <w:r>
        <w:t xml:space="preserve">Statutory auditor NBT &amp; Co.'s resignation and the resulting casual vacancy (exact date within the filings reviewed, not independently pinned down further this pass).</w:t>
      </w:r>
    </w:p>
    <w:p>
      <w:pPr>
        <w:pStyle w:val="ListParagraph"/>
        <w:numPr>
          <w:ilvl w:val="0"/>
          <w:numId w:val="1"/>
        </w:numPr>
        <w:spacing w:after="60"/>
      </w:pPr>
      <w:r>
        <w:t xml:space="preserve">FY28 revenue target raised to Rs 1,100 Cr from Rs 1,000 Cr.</w:t>
      </w:r>
    </w:p>
    <w:p>
      <w:pPr>
        <w:spacing w:after="120"/>
      </w:pPr>
      <w:r>
        <w:rPr>
          <w:b/>
          <w:bCs/>
          <w:sz w:val="20"/>
          <w:szCs w:val="20"/>
        </w:rPr>
        <w:t xml:space="preserve">Key new facts vs. the prior write-up:</w:t>
      </w:r>
    </w:p>
    <w:p>
      <w:pPr>
        <w:pStyle w:val="ListParagraph"/>
        <w:numPr>
          <w:ilvl w:val="0"/>
          <w:numId w:val="1"/>
        </w:numPr>
        <w:spacing w:after="60"/>
      </w:pPr>
      <w:r>
        <w:t xml:space="preserve">NEW, MATERIAL: statutory auditor NBT &amp; Co. resigned mid-term (5-year term through 2028), creating a casual vacancy - the original 'no red flags' pass, sourced only from a light web scan, did not check BSE/NSE filings closely enough to surface this.</w:t>
      </w:r>
    </w:p>
    <w:p>
      <w:pPr>
        <w:pStyle w:val="ListParagraph"/>
        <w:numPr>
          <w:ilvl w:val="0"/>
          <w:numId w:val="1"/>
        </w:numPr>
        <w:spacing w:after="60"/>
      </w:pPr>
      <w:r>
        <w:t xml:space="preserve">NEW (positive): ROCE is trending up (7% FY24 -&gt; 12% FY25), not static; operating and free cash flow both turned positive in FY26 after years negative - a genuine, not just headline, improvement.</w:t>
      </w:r>
    </w:p>
    <w:p>
      <w:pPr>
        <w:pStyle w:val="ListParagraph"/>
        <w:numPr>
          <w:ilvl w:val="0"/>
          <w:numId w:val="1"/>
        </w:numPr>
        <w:spacing w:after="60"/>
      </w:pPr>
      <w:r>
        <w:t xml:space="preserve">NEW (positive): FY28 revenue target was raised, not cut, alongside concrete Surat capacity progress (Phase 1 ready).</w:t>
      </w:r>
    </w:p>
    <w:p>
      <w:pPr>
        <w:pStyle w:val="ListParagraph"/>
        <w:numPr>
          <w:ilvl w:val="0"/>
          <w:numId w:val="1"/>
        </w:numPr>
        <w:spacing w:after="60"/>
      </w:pPr>
      <w:r>
        <w:t xml:space="preserve">The blended low EBITDA margin is now understood as a deliberate 'trade first, brand later' strategic choice, not an unexplained profitability weakness.</w:t>
      </w:r>
    </w:p>
    <w:p>
      <w:pPr>
        <w:spacing w:after="120"/>
      </w:pPr>
      <w:r>
        <w:rPr>
          <w:b/>
          <w:bCs/>
          <w:sz w:val="20"/>
          <w:szCs w:val="20"/>
        </w:rPr>
        <w:t xml:space="preserve">Open questions / what to watch:</w:t>
      </w:r>
    </w:p>
    <w:p>
      <w:pPr>
        <w:pStyle w:val="ListParagraph"/>
        <w:numPr>
          <w:ilvl w:val="0"/>
          <w:numId w:val="1"/>
        </w:numPr>
        <w:spacing w:after="60"/>
      </w:pPr>
      <w:r>
        <w:t xml:space="preserve">Reason for the statutory auditor's mid-term resignation - not disclosed in sources reviewed this pass; the single most important thing to check next pass, along with the name of the replacement auditor.</w:t>
      </w:r>
    </w:p>
    <w:p>
      <w:pPr>
        <w:pStyle w:val="ListParagraph"/>
        <w:numPr>
          <w:ilvl w:val="0"/>
          <w:numId w:val="1"/>
        </w:numPr>
        <w:spacing w:after="60"/>
      </w:pPr>
      <w:r>
        <w:t xml:space="preserve">FY26 ROCE figure was not cleanly disclosed (screener showed a dash) - whether it continued improving past the FY25 12% level is unconfirmed.</w:t>
      </w:r>
    </w:p>
    <w:p>
      <w:pPr>
        <w:pStyle w:val="ListParagraph"/>
        <w:numPr>
          <w:ilvl w:val="0"/>
          <w:numId w:val="1"/>
        </w:numPr>
        <w:spacing w:after="60"/>
      </w:pPr>
      <w:r>
        <w:t xml:space="preserve">Whether the FY26 PAT/cash-flow inflection is durable or partly a one-off (e.g. a large one-time order or working-capital release) - not established this pass.</w:t>
      </w:r>
    </w:p>
    <w:p>
      <w:pPr>
        <w:pStyle w:val="ListParagraph"/>
        <w:numPr>
          <w:ilvl w:val="0"/>
          <w:numId w:val="1"/>
        </w:numPr>
        <w:spacing w:after="60"/>
      </w:pPr>
      <w:r>
        <w:t xml:space="preserve">net_debt_to_ebitda and fcf_conversion_pct are approximate, derived from partial figures rather than a clean EBITDA/debt breakdown.</w:t>
      </w:r>
    </w:p>
    <w:p>
      <w:pPr>
        <w:spacing w:after="120" w:before="120"/>
      </w:pPr>
      <w:r>
        <w:rPr>
          <w:b/>
          <w:bCs/>
          <w:sz w:val="20"/>
          <w:szCs w:val="20"/>
        </w:rPr>
        <w:t xml:space="preserve">Conviction impact: </w:t>
      </w:r>
      <w:r>
        <w:rPr>
          <w:sz w:val="20"/>
          <w:szCs w:val="20"/>
        </w:rPr>
        <w:t xml:space="preserve">Medium -&gt; Low-Medium. The underlying business has genuinely improved (ROCE up, cash flow turning positive, capacity expansion on track, guidance raised) - more encouraging than the original static framing suggested. However, this pass also found a confirmed statutory auditor resignation mid-term, an undisclosed-reason event that is the named HIGH CAUTION trigger this framework watches for. Conviction is capped Low-Medium per protocol pending clarity on the resignation and its replacement, even though nothing else in this pass points to financial-statement problems specifically.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Surat facility Phase 1 ready, targeting 4+ lakh pouches/day combined capacity by FY27</w:t>
            </w:r>
          </w:p>
        </w:tc>
        <w:tc>
          <w:tcPr>
            <w:tcW w:type="dxa" w:w="2400"/>
          </w:tcPr>
          <w:p>
            <w:r>
              <w:rPr>
                <w:b w:val="false"/>
                <w:bCs w:val="false"/>
                <w:sz w:val="18"/>
                <w:szCs w:val="18"/>
              </w:rPr>
              <w:t xml:space="preserve">2,00,000 sq.ft. facility, alongside the existing Mumbai 47,000 sq.ft./1.5 lakh pouches/day plant</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Statutory auditor casual vacancy to be filled</w:t>
            </w:r>
          </w:p>
        </w:tc>
        <w:tc>
          <w:tcPr>
            <w:tcW w:type="dxa" w:w="2400"/>
          </w:tcPr>
          <w:p>
            <w:r>
              <w:rPr>
                <w:b w:val="false"/>
                <w:bCs w:val="false"/>
                <w:sz w:val="18"/>
                <w:szCs w:val="18"/>
              </w:rPr>
              <w:t xml:space="preserve">NBT &amp; Co. resigned mid-term (through 2028); board must appoint a replacement by ordinary resolution</w:t>
            </w:r>
          </w:p>
        </w:tc>
        <w:tc>
          <w:tcPr>
            <w:tcW w:type="dxa" w:w="900"/>
          </w:tcPr>
          <w:p>
            <w:r>
              <w:rPr>
                <w:b w:val="false"/>
                <w:bCs w:val="false"/>
                <w:sz w:val="18"/>
                <w:szCs w:val="18"/>
              </w:rPr>
              <w:t xml:space="preserve">3M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FY28 revenue target raised to Rs 1,100 Cr from Rs 1,000 Cr</w:t>
            </w:r>
          </w:p>
        </w:tc>
        <w:tc>
          <w:tcPr>
            <w:tcW w:type="dxa" w:w="2400"/>
          </w:tcPr>
          <w:p>
            <w:r>
              <w:rPr>
                <w:b w:val="false"/>
                <w:bCs w:val="false"/>
                <w:sz w:val="18"/>
                <w:szCs w:val="18"/>
              </w:rPr>
              <w:t xml:space="preserve">Revised upward alongside FY26 results (May 2026)</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bl>
    <w:p>
      <w:pPr>
        <w:spacing w:after="60" w:before="120"/>
      </w:pPr>
      <w:r>
        <w:rPr>
          <w:b/>
          <w:bCs/>
          <w:sz w:val="20"/>
          <w:szCs w:val="20"/>
        </w:rPr>
        <w:t xml:space="preserve">Earnings chain: </w:t>
      </w:r>
      <w:r>
        <w:rPr>
          <w:b w:val="false"/>
          <w:bCs w:val="false"/>
          <w:sz w:val="20"/>
          <w:szCs w:val="20"/>
        </w:rPr>
        <w:t xml:space="preserve">Organized/branded shift in dry fruits, nuts and healthy snacking (tailwind)</w:t>
      </w:r>
      <w:r>
        <w:rPr>
          <w:color w:val="666666"/>
          <w:sz w:val="20"/>
          <w:szCs w:val="20"/>
        </w:rPr>
        <w:t xml:space="preserve"> → </w:t>
      </w:r>
      <w:r>
        <w:rPr>
          <w:b w:val="false"/>
          <w:bCs w:val="false"/>
          <w:sz w:val="20"/>
          <w:szCs w:val="20"/>
        </w:rPr>
        <w:t xml:space="preserve">Capacity expansion (Surat, 1.5 lakh -&gt; 4+ lakh pouches/day)</w:t>
      </w:r>
      <w:r>
        <w:rPr>
          <w:color w:val="666666"/>
          <w:sz w:val="20"/>
          <w:szCs w:val="20"/>
        </w:rPr>
        <w:t xml:space="preserve"> → </w:t>
      </w:r>
      <w:r>
        <w:rPr>
          <w:b w:val="false"/>
          <w:bCs w:val="false"/>
          <w:sz w:val="20"/>
          <w:szCs w:val="20"/>
        </w:rPr>
        <w:t xml:space="preserve">Revenue growth (FY26 +59.2%, accelerating)</w:t>
      </w:r>
      <w:r>
        <w:rPr>
          <w:color w:val="666666"/>
          <w:sz w:val="20"/>
          <w:szCs w:val="20"/>
        </w:rPr>
        <w:t xml:space="preserve"> → </w:t>
      </w:r>
      <w:r>
        <w:rPr>
          <w:b w:val="false"/>
          <w:bCs w:val="false"/>
          <w:sz w:val="20"/>
          <w:szCs w:val="20"/>
        </w:rPr>
        <w:t xml:space="preserve">Margin mix shift toward branded (vs trading) revenue over time</w:t>
      </w:r>
      <w:r>
        <w:rPr>
          <w:color w:val="666666"/>
          <w:sz w:val="20"/>
          <w:szCs w:val="20"/>
        </w:rPr>
        <w:t xml:space="preserve"> → </w:t>
      </w:r>
      <w:r>
        <w:rPr>
          <w:b w:val="false"/>
          <w:bCs w:val="false"/>
          <w:sz w:val="20"/>
          <w:szCs w:val="20"/>
        </w:rPr>
        <w:t xml:space="preserve">PAT growth (FY26 +100%, a real inflection)</w:t>
      </w:r>
      <w:r>
        <w:rPr>
          <w:color w:val="666666"/>
          <w:sz w:val="20"/>
          <w:szCs w:val="20"/>
        </w:rPr>
        <w:t xml:space="preserve"> → </w:t>
      </w:r>
      <w:r>
        <w:rPr>
          <w:b w:val="false"/>
          <w:bCs w:val="false"/>
          <w:sz w:val="20"/>
          <w:szCs w:val="20"/>
        </w:rPr>
        <w:t xml:space="preserve">Cash conversion (OCF/FCF both turned positive FY26)</w:t>
      </w:r>
    </w:p>
    <w:p>
      <w:pPr>
        <w:spacing w:after="120"/>
      </w:pPr>
      <w:r>
        <w:rPr>
          <w:color w:val="666666"/>
          <w:sz w:val="18"/>
          <w:szCs w:val="18"/>
        </w:rPr>
        <w:t xml:space="preserve">Bottleneck link: Margin mix shift toward branded revenue - the structural driver of whether ROCE keeps improving from its still-modest 12% level.</w:t>
      </w:r>
    </w:p>
    <w:p>
      <w:pPr>
        <w:spacing w:after="120"/>
      </w:pPr>
      <w:r>
        <w:rPr>
          <w:color w:val="666666"/>
          <w:sz w:val="18"/>
          <w:szCs w:val="18"/>
        </w:rPr>
        <w:t xml:space="preserve">Operating leverage: yes - PAT growth (+100%) well ahead of revenue growth (+59.2%) FY26, with cash conversion improving alongside</w:t>
      </w:r>
    </w:p>
    <w:p>
      <w:pPr>
        <w:spacing w:after="120"/>
      </w:pPr>
      <w:r>
        <w:rPr>
          <w:color w:val="666666"/>
          <w:sz w:val="18"/>
          <w:szCs w:val="18"/>
        </w:rPr>
        <w:t xml:space="preserve">Evidenced: Capacity expansion; Revenue growth; PAT growth; Cash conversion improving. Still assumed: Margin mix shift toward branded revenue continuing.</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2026-09-16</w:t>
            </w:r>
          </w:p>
        </w:tc>
      </w:tr>
      <w:tr>
        <w:tc>
          <w:tcPr>
            <w:tcW w:type="dxa" w:w="3200"/>
            <w:shd w:fill="F2F2F2" w:val="clear"/>
          </w:tcPr>
          <w:p>
            <w:r>
              <w:rPr>
                <w:b/>
                <w:bCs/>
              </w:rPr>
              <w:t xml:space="preserve">Price / multiple</w:t>
            </w:r>
          </w:p>
        </w:tc>
        <w:tc>
          <w:tcPr>
            <w:tcW w:type="dxa" w:w="5800"/>
          </w:tcPr>
          <w:p>
            <w:r>
              <w:t xml:space="preserve">Rs 1650 · 41.1x P/E · 21.99x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~41x trailing P/E needs sustained high-20s%+ PAT CAGR to be fair at a ~18-20x branded-FMCG exit multiple; FY26's +100% PAT growth clears this comfortably, but it is one year of inflection against two prior flat years</w:t>
            </w:r>
          </w:p>
        </w:tc>
      </w:tr>
      <w:tr>
        <w:tc>
          <w:tcPr>
            <w:tcW w:type="dxa" w:w="3200"/>
            <w:shd w:fill="F2F2F2" w:val="clear"/>
          </w:tcPr>
          <w:p>
            <w:r>
              <w:rPr>
                <w:b/>
                <w:bCs/>
              </w:rPr>
              <w:t xml:space="preserve">Our FY27</w:t>
            </w:r>
          </w:p>
        </w:tc>
        <w:tc>
          <w:tcPr>
            <w:tcW w:type="dxa" w:w="5800"/>
          </w:tcPr>
          <w:p>
            <w:r>
              <w:t xml:space="preserve">Revenue growth likely continues in the 30-50%+ range as Surat capacity ramps; PAT growth should continue outpacing revenue if the branded/margin mix shift persists</w:t>
            </w:r>
          </w:p>
        </w:tc>
      </w:tr>
      <w:tr>
        <w:tc>
          <w:tcPr>
            <w:tcW w:type="dxa" w:w="3200"/>
            <w:shd w:fill="F2F2F2" w:val="clear"/>
          </w:tcPr>
          <w:p>
            <w:r>
              <w:rPr>
                <w:b/>
                <w:bCs/>
              </w:rPr>
              <w:t xml:space="preserve">Our FY28</w:t>
            </w:r>
          </w:p>
        </w:tc>
        <w:tc>
          <w:tcPr>
            <w:tcW w:type="dxa" w:w="5800"/>
          </w:tcPr>
          <w:p>
            <w:r>
              <w:t xml:space="preserve">If the Rs 1,100 Cr FY28 target is hit alongside continued ROCE improvement, a genuine re-rating case exists; the statutory-auditor situation is the key near-term risk to monitor rather than a fundamental derailment</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~41x multiple already credits real growth, but the ROCE-improvement/cash-flow-turnaround story (still only one year of data) and the raised FY28 target suggest the market may not have fully priced a sustained margin-mix improvement, tempered by the newly-found auditor-resignation uncertainty</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 (no VP thread exists for this name)</w:t>
      </w:r>
    </w:p>
    <w:p>
      <w:pPr>
        <w:spacing w:after="120" w:before="120"/>
      </w:pPr>
      <w:r>
        <w:rPr>
          <w:b/>
          <w:bCs/>
          <w:sz w:val="20"/>
          <w:szCs w:val="20"/>
        </w:rPr>
        <w:t xml:space="preserve">Catalyst: </w:t>
      </w:r>
      <w:r>
        <w:rPr>
          <w:sz w:val="20"/>
          <w:szCs w:val="20"/>
        </w:rPr>
        <w:t xml:space="preserve">Appointment of a replacement statutory auditor to fill the casual vacancy, and Surat facility full commissioning/ramp confirmation</w:t>
      </w:r>
      <w:r>
        <w:rPr>
          <w:color w:val="666666"/>
          <w:sz w:val="18"/>
          <w:szCs w:val="18"/>
        </w:rPr>
        <w:t xml:space="preserve"> (window ~3M from 2026-09-16; undated;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Branded/organized consumer-food companies riding the unorganized-to-organized shift (dry fruits, nuts, healthy snacking)</w:t>
            </w:r>
          </w:p>
        </w:tc>
      </w:tr>
      <w:tr>
        <w:tc>
          <w:tcPr>
            <w:tcW w:type="dxa" w:w="3200"/>
            <w:shd w:fill="F2F2F2" w:val="clear"/>
          </w:tcPr>
          <w:p>
            <w:r>
              <w:rPr>
                <w:b/>
                <w:bCs/>
              </w:rPr>
              <w:t xml:space="preserve">This company's position</w:t>
            </w:r>
          </w:p>
        </w:tc>
        <w:tc>
          <w:tcPr>
            <w:tcW w:type="dxa" w:w="5800"/>
          </w:tcPr>
          <w:p>
            <w:r>
              <w:t xml:space="preserve">Integrated branded health-food company (ProV brand family) spanning dry fruits, nuts, seeds, berries and healthy snacking, deliberately building via a 'trade first, brand later' value-chain progression strategy</w:t>
            </w:r>
          </w:p>
        </w:tc>
      </w:tr>
      <w:tr>
        <w:tc>
          <w:tcPr>
            <w:tcW w:type="dxa" w:w="3200"/>
            <w:shd w:fill="F2F2F2" w:val="clear"/>
          </w:tcPr>
          <w:p>
            <w:r>
              <w:rPr>
                <w:b/>
                <w:bCs/>
              </w:rPr>
              <w:t xml:space="preserve">Bottleneck node (pricing power)</w:t>
            </w:r>
          </w:p>
        </w:tc>
        <w:tc>
          <w:tcPr>
            <w:tcW w:type="dxa" w:w="5800"/>
          </w:tcPr>
          <w:p>
            <w:r>
              <w:t xml:space="preserve">Brand differentiation and retail-shelf/e-commerce presence in a historically commodity, unorganized trading category - the real test of whether the branded portion can scale margin ahead of the trading portion</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Happilo (unlisted), Nutraj (unlisted), Farmley (unlisted)</w:t>
            </w:r>
          </w:p>
        </w:tc>
      </w:tr>
    </w:tbl>
    <w:p>
      <w:pPr>
        <w:spacing w:after="120"/>
      </w:pPr>
      <w:r>
        <w:rPr>
          <w:color w:val="666666"/>
          <w:sz w:val="18"/>
          <w:szCs w:val="18"/>
        </w:rPr>
        <w:t xml:space="preserve">The unorganized-to-organized tailwind is real and shared with several unlisted competitors; Proventus's differentiator is a disclosed, deliberate trade-then-brand strategy that explains its currently thin blended margin rather than indicating weak unit economics on the branded portion specifically.</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Deliberate trade-first, brand-later strategy structurally caps blended margin below a pure-branded-FMCG comparable; FY26 shows genuine improvement: PAT +100%, operating and free cash flow both turning positive after years negative.</w:t>
      </w:r>
    </w:p>
    <w:p>
      <w:pPr>
        <w:spacing w:after="120"/>
      </w:pPr>
      <w:r>
        <w:rPr>
          <w:color w:val="666666"/>
          <w:sz w:val="18"/>
          <w:szCs w:val="18"/>
        </w:rPr>
        <w:t xml:space="preserve">Margins are thin by design (trading-heavy revenue mix), not because of a cyclical peak unwinding - the FY26 improvement in ROCE, PAT and cash flow is a genuine positive inflection, not a one-off spike to be wary of.</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FY24 Rs 497 Cr -&gt; FY25 Rs 581 Cr (+16.9%) -&gt; FY26 Rs 925 Cr (+59.2%) - a real acceleration, not a one-off. PAT: Rs 7 Cr -&gt; Rs 7 Cr (flat) -&gt; Rs 14 Cr (+100%) - the FY26 inflection is broad-based across revenue, profit and cash flow.</w:t>
      </w:r>
    </w:p>
    <w:p>
      <w:pPr>
        <w:spacing w:after="120"/>
      </w:pPr>
      <w:r>
        <w:rPr>
          <w:color w:val="666666"/>
          <w:sz w:val="18"/>
          <w:szCs w:val="18"/>
        </w:rPr>
        <w:t xml:space="preserve">Reverse P/E: ~41x trailing P/E is full for a business with still-modest (12%) ROCE, but the accelerating growth and improving cash conversion give some support; this is a name where the growth trend is more convincing than the absolute return-on-capital level.</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Funding the Surat capacity expansion via a mix of modest debt (Rs 2 Cr -&gt; Rs 27 Cr) and internal accruals, keeping D/E low (~0.17); zero dividend payout is consistent with a reinvestment-stage growth company rather than a concern.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disclosed strategy of moving from trading/distribution mastery up the value chain into branded retail (ProV brand family) - a genuine, stated capability-ladder approach.</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12% (improving)</w:t>
            </w:r>
          </w:p>
        </w:tc>
      </w:tr>
      <w:tr>
        <w:tc>
          <w:tcPr>
            <w:tcW w:type="dxa" w:w="3200"/>
            <w:shd w:fill="F2F2F2" w:val="clear"/>
          </w:tcPr>
          <w:p>
            <w:r>
              <w:rPr>
                <w:b/>
                <w:bCs/>
              </w:rPr>
              <w:t xml:space="preserve">Leverage</w:t>
            </w:r>
          </w:p>
        </w:tc>
        <w:tc>
          <w:tcPr>
            <w:tcW w:type="dxa" w:w="5800"/>
          </w:tcPr>
          <w:p>
            <w:r>
              <w:t xml:space="preserve">Net debt/EBITDA 1.4x</w:t>
            </w:r>
          </w:p>
        </w:tc>
      </w:tr>
      <w:tr>
        <w:tc>
          <w:tcPr>
            <w:tcW w:type="dxa" w:w="3200"/>
            <w:shd w:fill="F2F2F2" w:val="clear"/>
          </w:tcPr>
          <w:p>
            <w:r>
              <w:rPr>
                <w:b/>
                <w:bCs/>
              </w:rPr>
              <w:t xml:space="preserve">FCF conversion</w:t>
            </w:r>
          </w:p>
        </w:tc>
        <w:tc>
          <w:tcPr>
            <w:tcW w:type="dxa" w:w="5800"/>
          </w:tcPr>
          <w:p>
            <w:r>
              <w:t xml:space="preserve">35%</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productive</w:t>
            </w:r>
          </w:p>
        </w:tc>
      </w:tr>
    </w:tbl>
    <w:p>
      <w:pPr>
        <w:pStyle w:val="Heading1"/>
        <w:spacing w:after="120" w:before="280"/>
      </w:pPr>
      <w:r>
        <w:t xml:space="preserve">Technical Read (Weekly / Monthly MACD + Bollinger Bands, or RSI/CCI/Williams %R proxy)</w:t>
      </w:r>
    </w:p>
    <w:p>
      <w:pPr>
        <w:spacing w:after="120"/>
      </w:pPr>
      <w:r>
        <w:t xml:space="preserve">Trading at ~Rs 1,650, off slightly from the ~Rs 1,875 level at original discovery within a Rs 815-1,940 52-week range - still elevated, reflecting a re-rating already underway.</w:t>
      </w:r>
    </w:p>
    <w:p>
      <w:pPr>
        <w:pStyle w:val="Heading1"/>
        <w:spacing w:after="120" w:before="280"/>
      </w:pPr>
      <w:r>
        <w:t xml:space="preserve">ValuePickr Community Signal</w:t>
      </w:r>
    </w:p>
    <w:p>
      <w:pPr>
        <w:spacing w:after="120"/>
      </w:pPr>
      <w:r>
        <w:t xml:space="preserve">One ValuePickr forum search (search.json, categories 11/14/17) for 'Proventus Agrocom' returned zero posts, users or categories at original discovery - re-confirmed this pass, still no dedicated VP thread.</w:t>
      </w:r>
    </w:p>
    <w:p>
      <w:pPr>
        <w:spacing w:after="120"/>
      </w:pPr>
      <w:r>
        <w:rPr>
          <w:b/>
          <w:bCs/>
          <w:sz w:val="20"/>
          <w:szCs w:val="20"/>
        </w:rPr>
        <w:t xml:space="preserve">High-conviction call from a top contributor: </w:t>
      </w:r>
      <w:r>
        <w:rPr>
          <w:sz w:val="20"/>
          <w:szCs w:val="20"/>
        </w:rPr>
        <w:t xml:space="preserve">None found - no VP thread identified.</w:t>
      </w:r>
    </w:p>
    <w:p>
      <w:pPr>
        <w:pStyle w:val="Heading1"/>
        <w:spacing w:after="120" w:before="280"/>
      </w:pPr>
      <w:r>
        <w:t xml:space="preserve">BSE Corporate Actions / Other Red Flags</w:t>
      </w:r>
    </w:p>
    <w:p>
      <w:pPr>
        <w:spacing w:after="120"/>
      </w:pPr>
      <w:r>
        <w:t xml:space="preserve">This pass found what the original light pass missed: NBT &amp; Co. resigned as statutory auditor mid-term (appointed through 2028), creating a casual vacancy (board meeting outcome filings, exact resignation reason not disclosed in sources reviewed). No promoter pledge (0.00%), no SEBI/fraud action, no going-concern issue found. The company also updated its Code of Practices for Fair Disclosure of UPSI (May 2026) - a routine compliance update, not a concern.</w:t>
      </w:r>
    </w:p>
    <w:p>
      <w:pPr>
        <w:pStyle w:val="Heading1"/>
        <w:spacing w:after="120" w:before="280"/>
      </w:pPr>
      <w:r>
        <w:t xml:space="preserve">Bull Case</w:t>
      </w:r>
    </w:p>
    <w:p>
      <w:pPr>
        <w:pStyle w:val="ListParagraph"/>
        <w:numPr>
          <w:ilvl w:val="0"/>
          <w:numId w:val="1"/>
        </w:numPr>
        <w:spacing w:after="60"/>
      </w:pPr>
      <w:r>
        <w:t xml:space="preserve">ROCE genuinely improving (7% FY24 -&gt; 12% FY25), PAT inflected +100% in FY26 after two flat years, and operating/free cash flow both turned positive in FY26 after years negative - a real quality-of-earnings improvement, not just a growth story</w:t>
      </w:r>
    </w:p>
    <w:p>
      <w:pPr>
        <w:pStyle w:val="ListParagraph"/>
        <w:numPr>
          <w:ilvl w:val="0"/>
          <w:numId w:val="1"/>
        </w:numPr>
        <w:spacing w:after="60"/>
      </w:pPr>
      <w:r>
        <w:t xml:space="preserve">Concrete, on-track capacity expansion: Surat facility Phase 1 ready, targeting 4+ lakh pouches/day combined capacity by FY27, alongside a raised FY28 revenue target (Rs 1,100 Cr from Rs 1,000 Cr)</w:t>
      </w:r>
    </w:p>
    <w:p>
      <w:pPr>
        <w:pStyle w:val="ListParagraph"/>
        <w:numPr>
          <w:ilvl w:val="0"/>
          <w:numId w:val="1"/>
        </w:numPr>
        <w:spacing w:after="60"/>
      </w:pPr>
      <w:r>
        <w:t xml:space="preserve">Low leverage (D/E ~0.17) even after funding the capacity build via debt (Rs 2 Cr -&gt; Rs 27 Cr); no promoter pledge</w:t>
      </w:r>
    </w:p>
    <w:p>
      <w:pPr>
        <w:pStyle w:val="ListParagraph"/>
        <w:numPr>
          <w:ilvl w:val="0"/>
          <w:numId w:val="1"/>
        </w:numPr>
        <w:spacing w:after="60"/>
      </w:pPr>
      <w:r>
        <w:t xml:space="preserve">Riding a real structural tailwind: branding/organization of a historically unorganized dry-fruits, nuts and healthy-snacking category</w:t>
      </w:r>
    </w:p>
    <w:p>
      <w:pPr>
        <w:pStyle w:val="ListParagraph"/>
        <w:numPr>
          <w:ilvl w:val="0"/>
          <w:numId w:val="1"/>
        </w:numPr>
        <w:spacing w:after="60"/>
      </w:pPr>
      <w:r>
        <w:t xml:space="preserve">Market cap (~Rs 570 Cr) remains modest relative to trailing revenue (~Rs 925 Cr) for this growth rate</w:t>
      </w:r>
    </w:p>
    <w:p>
      <w:pPr>
        <w:pStyle w:val="Heading1"/>
        <w:spacing w:after="120" w:before="280"/>
      </w:pPr>
      <w:r>
        <w:t xml:space="preserve">Bear Case / Key Risks</w:t>
      </w:r>
    </w:p>
    <w:p>
      <w:pPr>
        <w:pStyle w:val="ListParagraph"/>
        <w:numPr>
          <w:ilvl w:val="0"/>
          <w:numId w:val="1"/>
        </w:numPr>
        <w:spacing w:after="60"/>
      </w:pPr>
      <w:r>
        <w:t xml:space="preserve">CONFIRMED, unresolved: statutory auditor NBT &amp; Co. resigned mid-way through its 5-year term (through 2028), creating a casual vacancy - the specific reason was not disclosed in sources reviewed this pass, and this is a materially more serious event than the internal/secretarial auditor changes found at other names this project has reviewed recently</w:t>
      </w:r>
    </w:p>
    <w:p>
      <w:pPr>
        <w:pStyle w:val="ListParagraph"/>
        <w:numPr>
          <w:ilvl w:val="0"/>
          <w:numId w:val="1"/>
        </w:numPr>
        <w:spacing w:after="60"/>
      </w:pPr>
      <w:r>
        <w:t xml:space="preserve">ROCE/ROE (12%/10%) remain modest in absolute terms even with the improving trend - capital efficiency at scale is still unproven</w:t>
      </w:r>
    </w:p>
    <w:p>
      <w:pPr>
        <w:pStyle w:val="ListParagraph"/>
        <w:numPr>
          <w:ilvl w:val="0"/>
          <w:numId w:val="1"/>
        </w:numPr>
        <w:spacing w:after="60"/>
      </w:pPr>
      <w:r>
        <w:t xml:space="preserve">Blended EBITDA margin remains thin (~3% on a trading+branding hybrid model) - the deliberate 'trade first, brand later' strategy is coherent but means overall profitability lags the 'branded FMCG' framing</w:t>
      </w:r>
    </w:p>
    <w:p>
      <w:pPr>
        <w:pStyle w:val="ListParagraph"/>
        <w:numPr>
          <w:ilvl w:val="0"/>
          <w:numId w:val="1"/>
        </w:numPr>
        <w:spacing w:after="60"/>
      </w:pPr>
      <w:r>
        <w:t xml:space="preserve">Stock trades at a full P/E (~41x) even after a modest pullback from its highs</w:t>
      </w:r>
    </w:p>
    <w:p>
      <w:pPr>
        <w:pStyle w:val="ListParagraph"/>
        <w:numPr>
          <w:ilvl w:val="0"/>
          <w:numId w:val="1"/>
        </w:numPr>
        <w:spacing w:after="60"/>
      </w:pPr>
      <w:r>
        <w:t xml:space="preserve">No forum/community corroboration found - this remains a fundamentals-only read</w:t>
      </w:r>
    </w:p>
    <w:p>
      <w:pPr>
        <w:pStyle w:val="Heading1"/>
        <w:spacing w:after="120" w:before="280"/>
      </w:pPr>
      <w:r>
        <w:t xml:space="preserve">Market-Cap Tier (informational — not a gate in this project)</w:t>
      </w:r>
    </w:p>
    <w:p>
      <w:pPr>
        <w:spacing w:after="120"/>
      </w:pPr>
      <w:r>
        <w:rPr>
          <w:b/>
          <w:bCs/>
        </w:rPr>
        <w:t xml:space="preserve">Small-cap (~Rs 570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weak  (score 3 / 4)</w:t>
      </w:r>
    </w:p>
    <w:p>
      <w:pPr>
        <w:spacing w:after="120"/>
      </w:pPr>
      <w:r>
        <w:rPr>
          <w:i/>
          <w:iCs/>
          <w:color w:val="666666"/>
          <w:sz w:val="20"/>
          <w:szCs w:val="20"/>
        </w:rPr>
        <w:t xml:space="preserve">Tailwind yes: organized/branded shift in dry fruits, nuts, seeds and healthy snacking. Tam yes: large, historically unorganized category with modern-trade/e-commerce/export headroom, now backed by concrete capacity expansion (Surat) and a raised FY28 target. Moat weak: brand differentiation exists but the category remains commodifiable, and much of revenue still runs through a lower-margin trading model. Valuation weak: P/E ~41x is full even after a modest pullback.</w:t>
      </w:r>
    </w:p>
    <w:p>
      <w:pPr>
        <w:pStyle w:val="Heading1"/>
        <w:spacing w:after="120" w:before="280"/>
      </w:pPr>
      <w:r>
        <w:t xml:space="preserve">Verdict</w:t>
      </w:r>
    </w:p>
    <w:p>
      <w:pPr>
        <w:spacing w:after="120"/>
      </w:pPr>
      <w:r>
        <w:rPr>
          <w:b/>
          <w:bCs/>
          <w:sz w:val="24"/>
          <w:szCs w:val="24"/>
        </w:rPr>
        <w:t xml:space="preserve">A genuinely improving small-cap growth story - ROCE trending up, cash flow turning positive, capacity expansion on track, raised FY28 target - but this pass found a confirmed statutory auditor resignation mid-term that the original light pass missed. HIGH CAUTION set; conviction downgraded to Low-Medium pending clarity on the resignation and its replacement auditor.</w:t>
      </w:r>
    </w:p>
    <w:p>
      <w:pPr>
        <w:pStyle w:val="ListParagraph"/>
        <w:numPr>
          <w:ilvl w:val="0"/>
          <w:numId w:val="1"/>
        </w:numPr>
        <w:spacing w:after="60"/>
      </w:pPr>
      <w:r>
        <w:t xml:space="preserve">Deep-dive pass 1 found the original pass's implicitly static framing (ROCE ~11.5%, 'no red flags') undersold both the positive trend (ROCE 7%-&gt;12%, cash flow turning positive) AND a real governance concern (statutory auditor resignation) that a light, filings-unchecked pass would miss.</w:t>
      </w:r>
    </w:p>
    <w:p>
      <w:pPr>
        <w:pStyle w:val="ListParagraph"/>
        <w:numPr>
          <w:ilvl w:val="0"/>
          <w:numId w:val="1"/>
        </w:numPr>
        <w:spacing w:after="60"/>
      </w:pPr>
      <w:r>
        <w:t xml:space="preserve">HIGH CAUTION set per protocol: a statutory auditor resigning mid-term (before its scheduled 2028 conclusion) is precisely the named trigger this framework watches for - conviction capped Low-Medium regardless of the otherwise-improving operating picture.</w:t>
      </w:r>
    </w:p>
    <w:p>
      <w:pPr>
        <w:pStyle w:val="ListParagraph"/>
        <w:numPr>
          <w:ilvl w:val="0"/>
          <w:numId w:val="1"/>
        </w:numPr>
        <w:spacing w:after="60"/>
      </w:pPr>
      <w:r>
        <w:t xml:space="preserve">four_box unchanged at 3.0 (tailwind yes, tam yes, moat weak, valuation weak) - the auditor concern doesn't mechanically change the box scores, and thesis_fit is retained at 10x-in-2-3-years (not overridden to neither) since, unlike several other HIGH CAUTION names reviewed recently, there is no stacking of multiple confirmed negative facts here - the core growth/cash-flow story has genuinely strengthened, and the auditor issue is a standalone governance flag to monitor rather than confirmed evidence of financial-statement problems.</w:t>
      </w:r>
    </w:p>
    <w:p>
      <w:pPr>
        <w:pStyle w:val="ListParagraph"/>
        <w:numPr>
          <w:ilvl w:val="0"/>
          <w:numId w:val="1"/>
        </w:numPr>
        <w:spacing w:after="60"/>
      </w:pPr>
      <w:r>
        <w:t xml:space="preserve">Conviction: Medium -&gt; Low-Medium (downgraded, HIGH CAUTION cap) - to be revisited once the replacement statutory auditor is named and, ideally, the resignation reason is disclosed.</w:t>
      </w:r>
    </w:p>
    <w:p>
      <w:pPr>
        <w:pStyle w:val="ListParagraph"/>
        <w:numPr>
          <w:ilvl w:val="0"/>
          <w:numId w:val="1"/>
        </w:numPr>
        <w:spacing w:after="60"/>
      </w:pPr>
      <w:r>
        <w:t xml:space="preserve">revisit_after_30d set true - the casual-vacancy fill (new statutory auditor appointment) is a near-term, dated event to check.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2026-09-16T14:47:33.422Z</dcterms:created>
  <dcterms:modified xsi:type="dcterms:W3CDTF">2026-09-16T14:47:33.428Z</dcterms:modified>
</cp:coreProperties>
</file>

<file path=docProps/custom.xml><?xml version="1.0" encoding="utf-8"?>
<Properties xmlns="http://schemas.openxmlformats.org/officeDocument/2006/custom-properties" xmlns:vt="http://schemas.openxmlformats.org/officeDocument/2006/docPropsVTypes"/>
</file>