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Sri Lotus Developers and Realty Ltd</w:t>
      </w:r>
    </w:p>
    <w:p>
      <w:pPr>
        <w:pBdr>
          <w:bottom w:val="single" w:color="CCCCCC" w:sz="6" w:space="8"/>
        </w:pBdr>
        <w:spacing w:after="200"/>
      </w:pPr>
      <w:r>
        <w:rPr>
          <w:i/>
          <w:iCs/>
          <w:color w:val="666666"/>
          <w:sz w:val="22"/>
          <w:szCs w:val="22"/>
        </w:rPr>
        <w:t xml:space="preserve">Asset-light Mumbai luxury real-estate developer (Juhu-area 'Lotus Developers' brand) with explosive Q1 FY27 pre-sales growth (+567% YoY) and a credible new institutional buyer (Capital Group, 1.95% stake), but this pass found a fresh promoter share sale (Sep 10, 2026, ~2pp of holding), a real EBITDA-margin contraction (-1160bps YoY), and negative operating cash flow (-Rs 326 Cr FY26) - the last largely explained by normal real-estate inventory-build dynamics given the company remains almost debt-free with substantial net cash.</w:t>
      </w:r>
    </w:p>
    <w:p>
      <w:pPr>
        <w:pStyle w:val="Heading1"/>
        <w:spacing w:after="120" w:before="280"/>
      </w:pPr>
      <w:r>
        <w:t xml:space="preserve">Business Overview</w:t>
      </w:r>
    </w:p>
    <w:p>
      <w:pPr>
        <w:spacing w:after="120"/>
      </w:pPr>
      <w:r>
        <w:t xml:space="preserve">Mumbai-based luxury residential developer operating an asset-light model via development/joint-development agreements (JDAs) rather than outright land acquisition, marketed under the 'Lotus Developers' brand which commands a ~22% pricing premium in the Juhu micro-market. IPO'd in 2025. In Q1 FY27, launched two projects - Lotus Trident (Andheri West) and Lotus Aquaria (Prabhadevi) - with combined GDV of Rs 1,350 Cr, and plans four more launches in the rest of FY27 (combined GDV Rs 3,500-4,000 Cr). Seeded via untrusted X triage (@nid_rockz, 2026-09-13).</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10,643 Cr (price ~Rs 216)</w:t>
            </w:r>
          </w:p>
        </w:tc>
      </w:tr>
      <w:tr>
        <w:tc>
          <w:tcPr>
            <w:tcW w:type="dxa" w:w="3200"/>
            <w:shd w:fill="F2F2F2" w:val="clear"/>
          </w:tcPr>
          <w:p>
            <w:r>
              <w:rPr>
                <w:b/>
                <w:bCs/>
              </w:rPr>
              <w:t xml:space="preserve">Stock P/E</w:t>
            </w:r>
          </w:p>
        </w:tc>
        <w:tc>
          <w:tcPr>
            <w:tcW w:type="dxa" w:w="5800"/>
          </w:tcPr>
          <w:p>
            <w:r>
              <w:t xml:space="preserve">~41.4x trailing</w:t>
            </w:r>
          </w:p>
        </w:tc>
      </w:tr>
      <w:tr>
        <w:tc>
          <w:tcPr>
            <w:tcW w:type="dxa" w:w="3200"/>
            <w:shd w:fill="F2F2F2" w:val="clear"/>
          </w:tcPr>
          <w:p>
            <w:r>
              <w:rPr>
                <w:b/>
                <w:bCs/>
              </w:rPr>
              <w:t xml:space="preserve">ROCE / ROE</w:t>
            </w:r>
          </w:p>
        </w:tc>
        <w:tc>
          <w:tcPr>
            <w:tcW w:type="dxa" w:w="5800"/>
          </w:tcPr>
          <w:p>
            <w:r>
              <w:t xml:space="preserve">ROCE 21.2%; ROE 16.7% (last year), 28.0% (3-yr average)</w:t>
            </w:r>
          </w:p>
        </w:tc>
      </w:tr>
      <w:tr>
        <w:tc>
          <w:tcPr>
            <w:tcW w:type="dxa" w:w="3200"/>
            <w:shd w:fill="F2F2F2" w:val="clear"/>
          </w:tcPr>
          <w:p>
            <w:r>
              <w:rPr>
                <w:b/>
                <w:bCs/>
              </w:rPr>
              <w:t xml:space="preserve">Q1 FY27 revenue / PAT</w:t>
            </w:r>
          </w:p>
        </w:tc>
        <w:tc>
          <w:tcPr>
            <w:tcW w:type="dxa" w:w="5800"/>
          </w:tcPr>
          <w:p>
            <w:r>
              <w:t xml:space="preserve">Revenue Rs 132 Cr (+116% YoY); PAT Rs 45.7-46 Cr (+77.3% YoY)</w:t>
            </w:r>
          </w:p>
        </w:tc>
      </w:tr>
      <w:tr>
        <w:tc>
          <w:tcPr>
            <w:tcW w:type="dxa" w:w="3200"/>
            <w:shd w:fill="F2F2F2" w:val="clear"/>
          </w:tcPr>
          <w:p>
            <w:r>
              <w:rPr>
                <w:b/>
                <w:bCs/>
              </w:rPr>
              <w:t xml:space="preserve">Q1 FY27 margin</w:t>
            </w:r>
          </w:p>
        </w:tc>
        <w:tc>
          <w:tcPr>
            <w:tcW w:type="dxa" w:w="5800"/>
          </w:tcPr>
          <w:p>
            <w:r>
              <w:t xml:space="preserve">EBITDA Rs 48 Cr (+63% YoY), but EBITDA MARGIN CONTRACTED -1160bps YoY to 36.4%</w:t>
            </w:r>
          </w:p>
        </w:tc>
      </w:tr>
      <w:tr>
        <w:tc>
          <w:tcPr>
            <w:tcW w:type="dxa" w:w="3200"/>
            <w:shd w:fill="F2F2F2" w:val="clear"/>
          </w:tcPr>
          <w:p>
            <w:r>
              <w:rPr>
                <w:b/>
                <w:bCs/>
              </w:rPr>
              <w:t xml:space="preserve">Pre-sales / collections (Q1 FY27)</w:t>
            </w:r>
          </w:p>
        </w:tc>
        <w:tc>
          <w:tcPr>
            <w:tcW w:type="dxa" w:w="5800"/>
          </w:tcPr>
          <w:p>
            <w:r>
              <w:t xml:space="preserve">Pre-sales Rs 409 Cr (+567% YoY); collections Rs 150 Cr (+115% YoY)</w:t>
            </w:r>
          </w:p>
        </w:tc>
      </w:tr>
      <w:tr>
        <w:tc>
          <w:tcPr>
            <w:tcW w:type="dxa" w:w="3200"/>
            <w:shd w:fill="F2F2F2" w:val="clear"/>
          </w:tcPr>
          <w:p>
            <w:r>
              <w:rPr>
                <w:b/>
                <w:bCs/>
              </w:rPr>
              <w:t xml:space="preserve">FY27 guidance</w:t>
            </w:r>
          </w:p>
        </w:tc>
        <w:tc>
          <w:tcPr>
            <w:tcW w:type="dxa" w:w="5800"/>
          </w:tcPr>
          <w:p>
            <w:r>
              <w:t xml:space="preserve">Pre-sales Rs 1,800-2,000 Cr; revenue and PAT both guided +55-60% YoY</w:t>
            </w:r>
          </w:p>
        </w:tc>
      </w:tr>
      <w:tr>
        <w:tc>
          <w:tcPr>
            <w:tcW w:type="dxa" w:w="3200"/>
            <w:shd w:fill="F2F2F2" w:val="clear"/>
          </w:tcPr>
          <w:p>
            <w:r>
              <w:rPr>
                <w:b/>
                <w:bCs/>
              </w:rPr>
              <w:t xml:space="preserve">Debt / cash</w:t>
            </w:r>
          </w:p>
        </w:tc>
        <w:tc>
          <w:tcPr>
            <w:tcW w:type="dxa" w:w="5800"/>
          </w:tcPr>
          <w:p>
            <w:r>
              <w:t xml:space="preserve">Almost debt-free (borrowings ~Rs 131 Cr Mar 2026); net cash ~Rs 401-623 Cr (sources vary)</w:t>
            </w:r>
          </w:p>
        </w:tc>
      </w:tr>
      <w:tr>
        <w:tc>
          <w:tcPr>
            <w:tcW w:type="dxa" w:w="3200"/>
            <w:shd w:fill="F2F2F2" w:val="clear"/>
          </w:tcPr>
          <w:p>
            <w:r>
              <w:rPr>
                <w:b/>
                <w:bCs/>
              </w:rPr>
              <w:t xml:space="preserve">Cash flow (FY26)</w:t>
            </w:r>
          </w:p>
        </w:tc>
        <w:tc>
          <w:tcPr>
            <w:tcW w:type="dxa" w:w="5800"/>
          </w:tcPr>
          <w:p>
            <w:r>
              <w:t xml:space="preserve">Operating cash flow -Rs 326 Cr; free cash flow -Rs 326 Cr - negative, but funded from cash reserves not debt</w:t>
            </w:r>
          </w:p>
        </w:tc>
      </w:tr>
      <w:tr>
        <w:tc>
          <w:tcPr>
            <w:tcW w:type="dxa" w:w="3200"/>
            <w:shd w:fill="F2F2F2" w:val="clear"/>
          </w:tcPr>
          <w:p>
            <w:r>
              <w:rPr>
                <w:b/>
                <w:bCs/>
              </w:rPr>
              <w:t xml:space="preserve">Working capital</w:t>
            </w:r>
          </w:p>
        </w:tc>
        <w:tc>
          <w:tcPr>
            <w:tcW w:type="dxa" w:w="5800"/>
          </w:tcPr>
          <w:p>
            <w:r>
              <w:t xml:space="preserve">Working-capital days 392 (Mar 2025) -&gt; 520 (Mar 2026); debtor days 136 -&gt; 156; inventory days 717 - elevated but structurally typical for a real-estate developer mid-construction cycle</w:t>
            </w:r>
          </w:p>
        </w:tc>
      </w:tr>
      <w:tr>
        <w:tc>
          <w:tcPr>
            <w:tcW w:type="dxa" w:w="3200"/>
            <w:shd w:fill="F2F2F2" w:val="clear"/>
          </w:tcPr>
          <w:p>
            <w:r>
              <w:rPr>
                <w:b/>
                <w:bCs/>
              </w:rPr>
              <w:t xml:space="preserve">Promoter holding</w:t>
            </w:r>
          </w:p>
        </w:tc>
        <w:tc>
          <w:tcPr>
            <w:tcW w:type="dxa" w:w="5800"/>
          </w:tcPr>
          <w:p>
            <w:r>
              <w:t xml:space="preserve">81.86% (Mar 2026) -&gt; 79.87% after promoter Anand Kamalnayan Pandit sold 97.7 lakh shares on Sep 10, 2026; no new pledges/encumbrances in FY26</w:t>
            </w:r>
          </w:p>
        </w:tc>
      </w:tr>
      <w:tr>
        <w:tc>
          <w:tcPr>
            <w:tcW w:type="dxa" w:w="3200"/>
            <w:shd w:fill="F2F2F2" w:val="clear"/>
          </w:tcPr>
          <w:p>
            <w:r>
              <w:rPr>
                <w:b/>
                <w:bCs/>
              </w:rPr>
              <w:t xml:space="preserve">Institutional interest</w:t>
            </w:r>
          </w:p>
        </w:tc>
        <w:tc>
          <w:tcPr>
            <w:tcW w:type="dxa" w:w="5800"/>
          </w:tcPr>
          <w:p>
            <w:r>
              <w:t xml:space="preserve">Capital Group fund bought a 1.95% stake for ~Rs 190 Cr (Sep 2026) - a credible, large global institutional buyer entering</w:t>
            </w:r>
          </w:p>
        </w:tc>
      </w:tr>
    </w:tbl>
    <w:p>
      <w:pPr>
        <w:spacing w:after="100"/>
      </w:pPr>
    </w:p>
    <w:p>
      <w:pPr>
        <w:spacing w:after="120"/>
      </w:pPr>
      <w:r>
        <w:t xml:space="preserve">The headline growth story remains genuinely explosive: Q1 FY27 pre-sales rose 567% YoY to Rs 409 Cr, revenue +116%, and management guided FY27 revenue/PAT growth of 55-60% off two new project launches (GDV Rs 1,350 Cr) plus four more planned (GDV Rs 3,500-4,000 Cr). A credible large global institutional investor, Capital Group, bought a 1.95% stake for ~Rs 190 Cr in September 2026 - a real, third-party validation signal distinct from forum chatter. However, this pass found several new cautions the original 'no red flags' light pass did not surface: (1) EBITDA margin contracted sharply (-1160bps YoY to 36.4%) even as revenue and PAT grew - a real quality-of-growth question; (2) FY26 operating cash flow was -Rs 326 Cr, with working-capital days deteriorating from 392 to 520 and inventory days at 717 - though for an asset-light developer actively launching new projects and building work-in-progress inventory, this is more structurally typical of the sector than it would be for a manufacturer, and is being funded from the company's substantial net cash (not debt, which remains minimal at ~Rs 131 Cr); (3) promoter Anand Kamalnayan Pandit sold 97.7 lakh shares on September 10, 2026 (just days before this review), reducing promoter holding from 81.86% to 79.87% - a modest (~2pp) but fresh, dated insider sale, distinct from the 'no new encumbrances' pledge confirmation which remains clean. The company also received a GST Show Cause Notice (April 2026, FY21-22 alleged liability Rs 3.58 Cr) which it states is immaterial - a routine tax dispute, not escalated further this pass. The statutory auditor (T.P. Ostwal &amp; Associates LLP) issued an unmodified (clean) opinion.</w:t>
      </w:r>
    </w:p>
    <w:p>
      <w:pPr>
        <w:pStyle w:val="Heading1"/>
        <w:spacing w:after="120" w:before="280"/>
      </w:pPr>
      <w:r>
        <w:t xml:space="preserve">Deep-Dive: Primary Documents (Annual Reports, Quarterly Results, Exchange Filings)</w:t>
      </w:r>
    </w:p>
    <w:p>
      <w:pPr>
        <w:spacing w:after="120"/>
      </w:pPr>
      <w:r>
        <w:rPr>
          <w:i/>
          <w:iCs/>
          <w:color w:val="666666"/>
          <w:sz w:val="18"/>
          <w:szCs w:val="18"/>
        </w:rPr>
        <w:t xml:space="preserve">Pass 1 — 2026-09-16. Built from the company's own filings (3 years of annual reports, ~4 quarters of results/concalls, and 6 months of BSE/NSE announcements), read via the web — a deeper layer than the forum-sentiment read below.</w:t>
      </w:r>
    </w:p>
    <w:p>
      <w:pPr>
        <w:spacing w:after="120"/>
      </w:pPr>
      <w:r>
        <w:rPr>
          <w:b/>
          <w:bCs/>
          <w:sz w:val="20"/>
          <w:szCs w:val="20"/>
        </w:rPr>
        <w:t xml:space="preserve">Sources reviewed this pass:</w:t>
      </w:r>
    </w:p>
    <w:p>
      <w:pPr>
        <w:pStyle w:val="ListParagraph"/>
        <w:numPr>
          <w:ilvl w:val="0"/>
          <w:numId w:val="1"/>
        </w:numPr>
        <w:spacing w:after="60"/>
      </w:pPr>
      <w:r>
        <w:t xml:space="preserve">screener.in (ROCE/ROE, debt/cash, operating cash flow, working-capital/debtor/inventory days, sales/profit CAGR)</w:t>
      </w:r>
    </w:p>
    <w:p>
      <w:pPr>
        <w:pStyle w:val="ListParagraph"/>
        <w:numPr>
          <w:ilvl w:val="0"/>
          <w:numId w:val="1"/>
        </w:numPr>
        <w:spacing w:after="60"/>
      </w:pPr>
      <w:r>
        <w:t xml:space="preserve">Business Standard, tradebrains.in, equitybulls.com, univest.in, marketsmojo.com (Q1 FY27 results, pre-sales, project launches, FY27 guidance)</w:t>
      </w:r>
    </w:p>
    <w:p>
      <w:pPr>
        <w:pStyle w:val="ListParagraph"/>
        <w:numPr>
          <w:ilvl w:val="0"/>
          <w:numId w:val="1"/>
        </w:numPr>
        <w:spacing w:after="60"/>
      </w:pPr>
      <w:r>
        <w:t xml:space="preserve">Business Standard (Capital Group stake purchase), trendlyne.com/scanx.trade (promoter shareholding change, encumbrance confirmation)</w:t>
      </w:r>
    </w:p>
    <w:p>
      <w:pPr>
        <w:pStyle w:val="ListParagraph"/>
        <w:numPr>
          <w:ilvl w:val="0"/>
          <w:numId w:val="1"/>
        </w:numPr>
        <w:spacing w:after="60"/>
      </w:pPr>
      <w:r>
        <w:t xml:space="preserve">Whalesbook.com (GST Show Cause Notice, auditor opinion)</w:t>
      </w:r>
    </w:p>
    <w:p>
      <w:pPr>
        <w:spacing w:after="120"/>
      </w:pPr>
      <w:r>
        <w:rPr>
          <w:b/>
          <w:bCs/>
          <w:sz w:val="20"/>
          <w:szCs w:val="20"/>
        </w:rPr>
        <w:t xml:space="preserve">Annual-report findings (3-year view):</w:t>
      </w:r>
    </w:p>
    <w:p>
      <w:pPr>
        <w:pStyle w:val="ListParagraph"/>
        <w:numPr>
          <w:ilvl w:val="0"/>
          <w:numId w:val="1"/>
        </w:numPr>
        <w:spacing w:after="60"/>
      </w:pPr>
      <w:r>
        <w:t xml:space="preserve">FY26 operating cash flow was -Rs 326 Cr; working-capital days deteriorated from 392 to 520; inventory days at 717 - elevated but structurally typical of a real-estate developer mid-construction across multiple projects, and funded from net cash reserves (borrowings only ~Rs 131 Cr) rather than debt.</w:t>
      </w:r>
    </w:p>
    <w:p>
      <w:pPr>
        <w:pStyle w:val="ListParagraph"/>
        <w:numPr>
          <w:ilvl w:val="0"/>
          <w:numId w:val="1"/>
        </w:numPr>
        <w:spacing w:after="60"/>
      </w:pPr>
      <w:r>
        <w:t xml:space="preserve">Statutory auditor (T.P. Ostwal &amp; Associates LLP) issued an unmodified opinion on FY26 standalone and consolidated financials - no auditor concern.</w:t>
      </w:r>
    </w:p>
    <w:p>
      <w:pPr>
        <w:pStyle w:val="ListParagraph"/>
        <w:numPr>
          <w:ilvl w:val="0"/>
          <w:numId w:val="1"/>
        </w:numPr>
        <w:spacing w:after="60"/>
      </w:pPr>
      <w:r>
        <w:t xml:space="preserve">A GST Show Cause Notice (April 2026, FY21-22/22-23/23-24, alleged FY21-22 liability Rs 3.58 Cr) was received; company states no material impact.</w:t>
      </w:r>
    </w:p>
    <w:p>
      <w:pPr>
        <w:pStyle w:val="ListParagraph"/>
        <w:numPr>
          <w:ilvl w:val="0"/>
          <w:numId w:val="1"/>
        </w:numPr>
        <w:spacing w:after="60"/>
      </w:pPr>
      <w:r>
        <w:t xml:space="preserve">Promoter Anand Kamalnayan Pandit sold 97.7 lakh shares on Sep 10, 2026, reducing promoter holding from 81.86% to 79.87%; promoters separately confirmed no new share encumbrances in FY26.</w:t>
      </w:r>
    </w:p>
    <w:p>
      <w:pPr>
        <w:pStyle w:val="ListParagraph"/>
        <w:numPr>
          <w:ilvl w:val="0"/>
          <w:numId w:val="1"/>
        </w:numPr>
        <w:spacing w:after="60"/>
      </w:pPr>
      <w:r>
        <w:t xml:space="preserve">Capital Group fund bought a 1.95% stake for ~Rs 190 Cr (Sep 2026) - a credible large global institutional buyer entering.</w:t>
      </w:r>
    </w:p>
    <w:p>
      <w:pPr>
        <w:spacing w:after="120"/>
      </w:pPr>
      <w:r>
        <w:rPr>
          <w:b/>
          <w:bCs/>
          <w:sz w:val="20"/>
          <w:szCs w:val="20"/>
        </w:rPr>
        <w:t xml:space="preserve">Quarterly trend (last ~4 quarters + concall commentary):</w:t>
      </w:r>
    </w:p>
    <w:p>
      <w:pPr>
        <w:pStyle w:val="ListParagraph"/>
        <w:numPr>
          <w:ilvl w:val="0"/>
          <w:numId w:val="1"/>
        </w:numPr>
        <w:spacing w:after="60"/>
      </w:pPr>
      <w:r>
        <w:t xml:space="preserve">Q1 FY27: revenue +116% YoY (Rs 132 Cr), PAT +77.3% YoY (Rs 45.7-46 Cr), EBITDA +63% YoY (Rs 48 Cr) but EBITDA margin -1160bps YoY to 36.4%.</w:t>
      </w:r>
    </w:p>
    <w:p>
      <w:pPr>
        <w:pStyle w:val="ListParagraph"/>
        <w:numPr>
          <w:ilvl w:val="0"/>
          <w:numId w:val="1"/>
        </w:numPr>
        <w:spacing w:after="60"/>
      </w:pPr>
      <w:r>
        <w:t xml:space="preserve">Pre-sales +567% YoY (Rs 409 Cr), collections +115% YoY (Rs 150 Cr) - forward bookings accelerating even faster than reported revenue.</w:t>
      </w:r>
    </w:p>
    <w:p>
      <w:pPr>
        <w:spacing w:after="120"/>
      </w:pPr>
      <w:r>
        <w:rPr>
          <w:b/>
          <w:bCs/>
          <w:sz w:val="20"/>
          <w:szCs w:val="20"/>
        </w:rPr>
        <w:t xml:space="preserve">Exchange announcements (last 6 months):</w:t>
      </w:r>
    </w:p>
    <w:p>
      <w:pPr>
        <w:pStyle w:val="ListParagraph"/>
        <w:numPr>
          <w:ilvl w:val="0"/>
          <w:numId w:val="1"/>
        </w:numPr>
        <w:spacing w:after="60"/>
      </w:pPr>
      <w:r>
        <w:t xml:space="preserve">Two Q1 FY27 project launches: Lotus Trident (Andheri West) and Lotus Aquaria (Prabhadevi), combined GDV Rs 1,350 Cr.</w:t>
      </w:r>
    </w:p>
    <w:p>
      <w:pPr>
        <w:pStyle w:val="ListParagraph"/>
        <w:numPr>
          <w:ilvl w:val="0"/>
          <w:numId w:val="1"/>
        </w:numPr>
        <w:spacing w:after="60"/>
      </w:pPr>
      <w:r>
        <w:t xml:space="preserve">FY27 guidance: 4 more project launches (combined GDV Rs 3,500-4,000 Cr), pre-sales Rs 1,800-2,000 Cr, revenue/PAT +55-60% YoY.</w:t>
      </w:r>
    </w:p>
    <w:p>
      <w:pPr>
        <w:pStyle w:val="ListParagraph"/>
        <w:numPr>
          <w:ilvl w:val="0"/>
          <w:numId w:val="1"/>
        </w:numPr>
        <w:spacing w:after="60"/>
      </w:pPr>
      <w:r>
        <w:t xml:space="preserve">Capital Group stake purchase (1.95%, ~Rs 190 Cr, Sep 2026).</w:t>
      </w:r>
    </w:p>
    <w:p>
      <w:pPr>
        <w:pStyle w:val="ListParagraph"/>
        <w:numPr>
          <w:ilvl w:val="0"/>
          <w:numId w:val="1"/>
        </w:numPr>
        <w:spacing w:after="60"/>
      </w:pPr>
      <w:r>
        <w:t xml:space="preserve">Promoter share sale (97.7 lakh shares, Sep 10, 2026).</w:t>
      </w:r>
    </w:p>
    <w:p>
      <w:pPr>
        <w:pStyle w:val="ListParagraph"/>
        <w:numPr>
          <w:ilvl w:val="0"/>
          <w:numId w:val="1"/>
        </w:numPr>
        <w:spacing w:after="60"/>
      </w:pPr>
      <w:r>
        <w:t xml:space="preserve">GST Show Cause Notice (April 28, 2026).</w:t>
      </w:r>
    </w:p>
    <w:p>
      <w:pPr>
        <w:spacing w:after="120"/>
      </w:pPr>
      <w:r>
        <w:rPr>
          <w:b/>
          <w:bCs/>
          <w:sz w:val="20"/>
          <w:szCs w:val="20"/>
        </w:rPr>
        <w:t xml:space="preserve">Key new facts vs. the prior write-up:</w:t>
      </w:r>
    </w:p>
    <w:p>
      <w:pPr>
        <w:pStyle w:val="ListParagraph"/>
        <w:numPr>
          <w:ilvl w:val="0"/>
          <w:numId w:val="1"/>
        </w:numPr>
        <w:spacing w:after="60"/>
      </w:pPr>
      <w:r>
        <w:t xml:space="preserve">NEW: EBITDA margin contracted sharply (-1160bps YoY to 36.4%) even as revenue/PAT grew strongly - a real quality-of-growth caution not in the original pass.</w:t>
      </w:r>
    </w:p>
    <w:p>
      <w:pPr>
        <w:pStyle w:val="ListParagraph"/>
        <w:numPr>
          <w:ilvl w:val="0"/>
          <w:numId w:val="1"/>
        </w:numPr>
        <w:spacing w:after="60"/>
      </w:pPr>
      <w:r>
        <w:t xml:space="preserve">NEW: a fresh, dated promoter share sale (Sep 10, 2026, ~2pp of holding) - distinct from the clean 'no new encumbrances' pledge confirmation.</w:t>
      </w:r>
    </w:p>
    <w:p>
      <w:pPr>
        <w:pStyle w:val="ListParagraph"/>
        <w:numPr>
          <w:ilvl w:val="0"/>
          <w:numId w:val="1"/>
        </w:numPr>
        <w:spacing w:after="60"/>
      </w:pPr>
      <w:r>
        <w:t xml:space="preserve">NEW (positive): Capital Group, a major global institutional investor, bought a 1.95% stake for ~Rs 190 Cr - credible third-party validation beyond forum/community corroboration (of which there is still none).</w:t>
      </w:r>
    </w:p>
    <w:p>
      <w:pPr>
        <w:pStyle w:val="ListParagraph"/>
        <w:numPr>
          <w:ilvl w:val="0"/>
          <w:numId w:val="1"/>
        </w:numPr>
        <w:spacing w:after="60"/>
      </w:pPr>
      <w:r>
        <w:t xml:space="preserve">NEW: FY26 operating cash flow was -Rs 326 Cr with working-capital/inventory days deteriorating - judged as sector-typical growth-phase dynamics (funded by cash reserves, not debt) rather than a distress signal, a materially different read than similar findings at other names reviewed recently.</w:t>
      </w:r>
    </w:p>
    <w:p>
      <w:pPr>
        <w:pStyle w:val="ListParagraph"/>
        <w:numPr>
          <w:ilvl w:val="0"/>
          <w:numId w:val="1"/>
        </w:numPr>
        <w:spacing w:after="60"/>
      </w:pPr>
      <w:r>
        <w:t xml:space="preserve">Confirmed clean: statutory auditor issued an unmodified opinion; no new promoter pledges/encumbrances in FY26; a minor GST notice is disclosed as immaterial by the company.</w:t>
      </w:r>
    </w:p>
    <w:p>
      <w:pPr>
        <w:spacing w:after="120"/>
      </w:pPr>
      <w:r>
        <w:rPr>
          <w:b/>
          <w:bCs/>
          <w:sz w:val="20"/>
          <w:szCs w:val="20"/>
        </w:rPr>
        <w:t xml:space="preserve">Open questions / what to watch:</w:t>
      </w:r>
    </w:p>
    <w:p>
      <w:pPr>
        <w:pStyle w:val="ListParagraph"/>
        <w:numPr>
          <w:ilvl w:val="0"/>
          <w:numId w:val="1"/>
        </w:numPr>
        <w:spacing w:after="60"/>
      </w:pPr>
      <w:r>
        <w:t xml:space="preserve">Whether the EBITDA margin contraction is a one-quarter mix effect (new project launches at different margin profiles) or the start of a structural trend - the key thing to check in Q2/Q3 FY27.</w:t>
      </w:r>
    </w:p>
    <w:p>
      <w:pPr>
        <w:pStyle w:val="ListParagraph"/>
        <w:numPr>
          <w:ilvl w:val="0"/>
          <w:numId w:val="1"/>
        </w:numPr>
        <w:spacing w:after="60"/>
      </w:pPr>
      <w:r>
        <w:t xml:space="preserve">Reason for and any further pattern behind the Sep 10, 2026 promoter share sale - whether a one-off diversification or the start of continued selling.</w:t>
      </w:r>
    </w:p>
    <w:p>
      <w:pPr>
        <w:pStyle w:val="ListParagraph"/>
        <w:numPr>
          <w:ilvl w:val="0"/>
          <w:numId w:val="1"/>
        </w:numPr>
        <w:spacing w:after="60"/>
      </w:pPr>
      <w:r>
        <w:t xml:space="preserve">Whether the FY26 negative operating cash flow trend continues or reverses as the newly launched projects reach revenue-recognition milestones.</w:t>
      </w:r>
    </w:p>
    <w:p>
      <w:pPr>
        <w:pStyle w:val="ListParagraph"/>
        <w:numPr>
          <w:ilvl w:val="0"/>
          <w:numId w:val="1"/>
        </w:numPr>
        <w:spacing w:after="60"/>
      </w:pPr>
      <w:r>
        <w:t xml:space="preserve">Status/resolution of the GST Show Cause Notice - not tracked to conclusion this pass.</w:t>
      </w:r>
    </w:p>
    <w:p>
      <w:pPr>
        <w:spacing w:after="120" w:before="120"/>
      </w:pPr>
      <w:r>
        <w:rPr>
          <w:b/>
          <w:bCs/>
          <w:sz w:val="20"/>
          <w:szCs w:val="20"/>
        </w:rPr>
        <w:t xml:space="preserve">Conviction impact: </w:t>
      </w:r>
      <w:r>
        <w:rPr>
          <w:sz w:val="20"/>
          <w:szCs w:val="20"/>
        </w:rPr>
        <w:t xml:space="preserve">Medium -&gt; Low-Medium. This pass found a more mixed picture than the original 'no red flags' assessment: genuinely positive new facts (Capital Group's institutional stake purchase, explosive pre-sales/collections growth, a clean audit opinion) alongside genuinely new cautions (a fresh promoter share sale, a real EBITDA-margin contraction, and a real-estate-typical but real operating-cash-flow deficit). None of these individually or together meet the HIGH CAUTION bar (no pledge, no auditor issue, the cash-flow pattern is sector-typical and cash-funded not debt-funded), but the balance of new findings tips modestly negative relative to the original assessment, warranting a one-notch conviction downgrade rather than a reaffirmation.</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Commitment ladder (most-proven first):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2400"/>
        <w:gridCol w:w="900"/>
        <w:gridCol w:w="1200"/>
        <w:gridCol w:w="800"/>
      </w:tblGrid>
      <w:tr>
        <w:trPr>
          <w:tblHeader/>
        </w:trPr>
        <w:tc>
          <w:tcPr>
            <w:tcW w:type="dxa" w:w="1100"/>
            <w:shd w:fill="F2F2F2" w:val="clear"/>
          </w:tcPr>
          <w:p>
            <w:r>
              <w:rPr>
                <w:b/>
                <w:bCs/>
                <w:sz w:val="18"/>
                <w:szCs w:val="18"/>
              </w:rPr>
              <w:t xml:space="preserve">Area</w:t>
            </w:r>
          </w:p>
        </w:tc>
        <w:tc>
          <w:tcPr>
            <w:tcW w:type="dxa" w:w="2600"/>
            <w:shd w:fill="F2F2F2" w:val="clear"/>
          </w:tcPr>
          <w:p>
            <w:r>
              <w:rPr>
                <w:b/>
                <w:bCs/>
                <w:sz w:val="18"/>
                <w:szCs w:val="18"/>
              </w:rPr>
              <w:t xml:space="preserve">Commitment</w:t>
            </w:r>
          </w:p>
        </w:tc>
        <w:tc>
          <w:tcPr>
            <w:tcW w:type="dxa" w:w="2400"/>
            <w:shd w:fill="F2F2F2" w:val="clear"/>
          </w:tcPr>
          <w:p>
            <w:r>
              <w:rPr>
                <w:b/>
                <w:bCs/>
                <w:sz w:val="18"/>
                <w:szCs w:val="18"/>
              </w:rPr>
              <w:t xml:space="preserve">Specifics</w:t>
            </w:r>
          </w:p>
        </w:tc>
        <w:tc>
          <w:tcPr>
            <w:tcW w:type="dxa" w:w="900"/>
            <w:shd w:fill="F2F2F2" w:val="clear"/>
          </w:tcPr>
          <w:p>
            <w:r>
              <w:rPr>
                <w:b/>
                <w:bCs/>
                <w:sz w:val="18"/>
                <w:szCs w:val="18"/>
              </w:rPr>
              <w:t xml:space="preserve">By when</w:t>
            </w:r>
          </w:p>
        </w:tc>
        <w:tc>
          <w:tcPr>
            <w:tcW w:type="dxa" w:w="1200"/>
            <w:shd w:fill="F2F2F2" w:val="clear"/>
          </w:tcPr>
          <w:p>
            <w:r>
              <w:rPr>
                <w:b/>
                <w:bCs/>
                <w:sz w:val="18"/>
                <w:szCs w:val="18"/>
              </w:rPr>
              <w:t xml:space="preserve">Stage</w:t>
            </w:r>
          </w:p>
        </w:tc>
        <w:tc>
          <w:tcPr>
            <w:tcW w:type="dxa" w:w="800"/>
            <w:shd w:fill="F2F2F2" w:val="clear"/>
          </w:tcPr>
          <w:p>
            <w:r>
              <w:rPr>
                <w:b/>
                <w:bCs/>
                <w:sz w:val="18"/>
                <w:szCs w:val="18"/>
              </w:rPr>
              <w:t xml:space="preserve">Thesis-critical</w:t>
            </w:r>
          </w:p>
        </w:tc>
      </w:tr>
      <w:tr>
        <w:tc>
          <w:tcPr>
            <w:tcW w:type="dxa" w:w="1100"/>
          </w:tcPr>
          <w:p>
            <w:r>
              <w:rPr>
                <w:b w:val="false"/>
                <w:bCs w:val="false"/>
                <w:sz w:val="18"/>
                <w:szCs w:val="18"/>
              </w:rPr>
              <w:t xml:space="preserve">orders</w:t>
            </w:r>
          </w:p>
        </w:tc>
        <w:tc>
          <w:tcPr>
            <w:tcW w:type="dxa" w:w="2600"/>
          </w:tcPr>
          <w:p>
            <w:r>
              <w:rPr>
                <w:b w:val="false"/>
                <w:bCs w:val="false"/>
                <w:sz w:val="18"/>
                <w:szCs w:val="18"/>
              </w:rPr>
              <w:t xml:space="preserve">6 project launches planned for FY27 across Mumbai luxury micro-markets</w:t>
            </w:r>
          </w:p>
        </w:tc>
        <w:tc>
          <w:tcPr>
            <w:tcW w:type="dxa" w:w="2400"/>
          </w:tcPr>
          <w:p>
            <w:r>
              <w:rPr>
                <w:b w:val="false"/>
                <w:bCs w:val="false"/>
                <w:sz w:val="18"/>
                <w:szCs w:val="18"/>
              </w:rPr>
              <w:t xml:space="preserve">Lotus Trident (Andheri West) and Lotus Aquaria (Prabhadevi) already launched, combined GDV Rs 1,350 Cr; 4 more planned, combined GDV Rs 3,500-4,000 Cr</w:t>
            </w:r>
          </w:p>
        </w:tc>
        <w:tc>
          <w:tcPr>
            <w:tcW w:type="dxa" w:w="900"/>
          </w:tcPr>
          <w:p>
            <w:r>
              <w:rPr>
                <w:b w:val="false"/>
                <w:bCs w:val="false"/>
                <w:sz w:val="18"/>
                <w:szCs w:val="18"/>
              </w:rPr>
              <w:t xml:space="preserve">FY27</w:t>
            </w:r>
          </w:p>
        </w:tc>
        <w:tc>
          <w:tcPr>
            <w:tcW w:type="dxa" w:w="1200"/>
          </w:tcPr>
          <w:p>
            <w:r>
              <w:rPr>
                <w:b w:val="false"/>
                <w:bCs w:val="false"/>
                <w:sz w:val="18"/>
                <w:szCs w:val="18"/>
              </w:rPr>
              <w:t xml:space="preserve">commercial</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growth</w:t>
            </w:r>
          </w:p>
        </w:tc>
        <w:tc>
          <w:tcPr>
            <w:tcW w:type="dxa" w:w="2600"/>
          </w:tcPr>
          <w:p>
            <w:r>
              <w:rPr>
                <w:b w:val="false"/>
                <w:bCs w:val="false"/>
                <w:sz w:val="18"/>
                <w:szCs w:val="18"/>
              </w:rPr>
              <w:t xml:space="preserve">FY27 guidance: pre-sales Rs 1,800-2,000 Cr, revenue and PAT +55-60% YoY</w:t>
            </w:r>
          </w:p>
        </w:tc>
        <w:tc>
          <w:tcPr>
            <w:tcW w:type="dxa" w:w="2400"/>
          </w:tcPr>
          <w:p>
            <w:r>
              <w:rPr>
                <w:b w:val="false"/>
                <w:bCs w:val="false"/>
                <w:sz w:val="18"/>
                <w:szCs w:val="18"/>
              </w:rPr>
              <w:t xml:space="preserve">Building on Q1 FY27 pre-sales of Rs 409 Cr (+567% YoY)</w:t>
            </w:r>
          </w:p>
        </w:tc>
        <w:tc>
          <w:tcPr>
            <w:tcW w:type="dxa" w:w="900"/>
          </w:tcPr>
          <w:p>
            <w:r>
              <w:rPr>
                <w:b w:val="false"/>
                <w:bCs w:val="false"/>
                <w:sz w:val="18"/>
                <w:szCs w:val="18"/>
              </w:rPr>
              <w:t xml:space="preserve">FY27</w:t>
            </w:r>
          </w:p>
        </w:tc>
        <w:tc>
          <w:tcPr>
            <w:tcW w:type="dxa" w:w="1200"/>
          </w:tcPr>
          <w:p>
            <w:r>
              <w:rPr>
                <w:b w:val="false"/>
                <w:bCs w:val="false"/>
                <w:sz w:val="18"/>
                <w:szCs w:val="18"/>
              </w:rPr>
              <w:t xml:space="preserve">expectation</w:t>
            </w:r>
          </w:p>
        </w:tc>
        <w:tc>
          <w:tcPr>
            <w:tcW w:type="dxa" w:w="800"/>
          </w:tcPr>
          <w:p>
            <w:r>
              <w:rPr>
                <w:b w:val="false"/>
                <w:bCs w:val="false"/>
                <w:sz w:val="18"/>
                <w:szCs w:val="18"/>
              </w:rPr>
              <w:t xml:space="preserve">yes</w:t>
            </w:r>
          </w:p>
        </w:tc>
      </w:tr>
      <w:tr>
        <w:tc>
          <w:tcPr>
            <w:tcW w:type="dxa" w:w="1100"/>
          </w:tcPr>
          <w:p>
            <w:r>
              <w:rPr>
                <w:b w:val="false"/>
                <w:bCs w:val="false"/>
                <w:sz w:val="18"/>
                <w:szCs w:val="18"/>
              </w:rPr>
              <w:t xml:space="preserve">balance_sheet</w:t>
            </w:r>
          </w:p>
        </w:tc>
        <w:tc>
          <w:tcPr>
            <w:tcW w:type="dxa" w:w="2600"/>
          </w:tcPr>
          <w:p>
            <w:r>
              <w:rPr>
                <w:b w:val="false"/>
                <w:bCs w:val="false"/>
                <w:sz w:val="18"/>
                <w:szCs w:val="18"/>
              </w:rPr>
              <w:t xml:space="preserve">Promoter share sale, Sep 10, 2026</w:t>
            </w:r>
          </w:p>
        </w:tc>
        <w:tc>
          <w:tcPr>
            <w:tcW w:type="dxa" w:w="2400"/>
          </w:tcPr>
          <w:p>
            <w:r>
              <w:rPr>
                <w:b w:val="false"/>
                <w:bCs w:val="false"/>
                <w:sz w:val="18"/>
                <w:szCs w:val="18"/>
              </w:rPr>
              <w:t xml:space="preserve">Anand Kamalnayan Pandit sold 97.7 lakh shares, reducing promoter holding from 81.86% to 79.87%</w:t>
            </w:r>
          </w:p>
        </w:tc>
        <w:tc>
          <w:tcPr>
            <w:tcW w:type="dxa" w:w="900"/>
          </w:tcPr>
          <w:p>
            <w:r>
              <w:rPr>
                <w:b w:val="false"/>
                <w:bCs w:val="false"/>
                <w:sz w:val="18"/>
                <w:szCs w:val="18"/>
              </w:rPr>
              <w:t xml:space="preserve">already done</w:t>
            </w:r>
          </w:p>
        </w:tc>
        <w:tc>
          <w:tcPr>
            <w:tcW w:type="dxa" w:w="1200"/>
          </w:tcPr>
          <w:p>
            <w:r>
              <w:rPr>
                <w:b w:val="false"/>
                <w:bCs w:val="false"/>
                <w:sz w:val="18"/>
                <w:szCs w:val="18"/>
              </w:rPr>
              <w:t xml:space="preserve">financial</w:t>
            </w:r>
          </w:p>
        </w:tc>
        <w:tc>
          <w:tcPr>
            <w:tcW w:type="dxa" w:w="800"/>
          </w:tcPr>
          <w:p>
            <w:r>
              <w:rPr>
                <w:b w:val="false"/>
                <w:bCs w:val="false"/>
                <w:sz w:val="18"/>
                <w:szCs w:val="18"/>
              </w:rPr>
              <w:t xml:space="preserve"/>
            </w:r>
          </w:p>
        </w:tc>
      </w:tr>
    </w:tbl>
    <w:p>
      <w:pPr>
        <w:spacing w:after="60" w:before="120"/>
      </w:pPr>
      <w:r>
        <w:rPr>
          <w:b/>
          <w:bCs/>
          <w:sz w:val="20"/>
          <w:szCs w:val="20"/>
        </w:rPr>
        <w:t xml:space="preserve">Earnings chain: </w:t>
      </w:r>
      <w:r>
        <w:rPr>
          <w:b w:val="false"/>
          <w:bCs w:val="false"/>
          <w:sz w:val="20"/>
          <w:szCs w:val="20"/>
        </w:rPr>
        <w:t xml:space="preserve">Juhu brand premium (22%) + Mumbai luxury/redevelopment tailwind</w:t>
      </w:r>
      <w:r>
        <w:rPr>
          <w:color w:val="666666"/>
          <w:sz w:val="20"/>
          <w:szCs w:val="20"/>
        </w:rPr>
        <w:t xml:space="preserve"> → </w:t>
      </w:r>
      <w:r>
        <w:rPr>
          <w:b w:val="false"/>
          <w:bCs w:val="false"/>
          <w:sz w:val="20"/>
          <w:szCs w:val="20"/>
        </w:rPr>
        <w:t xml:space="preserve">New project launches (6 planned FY27, GDV ~Rs 4,850-5,350 Cr)</w:t>
      </w:r>
      <w:r>
        <w:rPr>
          <w:color w:val="666666"/>
          <w:sz w:val="20"/>
          <w:szCs w:val="20"/>
        </w:rPr>
        <w:t xml:space="preserve"> → </w:t>
      </w:r>
      <w:r>
        <w:rPr>
          <w:b w:val="false"/>
          <w:bCs w:val="false"/>
          <w:sz w:val="20"/>
          <w:szCs w:val="20"/>
        </w:rPr>
        <w:t xml:space="preserve">Pre-sales growth (+567% YoY Q1 FY27) + collections growth (+115% YoY)</w:t>
      </w:r>
      <w:r>
        <w:rPr>
          <w:color w:val="666666"/>
          <w:sz w:val="20"/>
          <w:szCs w:val="20"/>
        </w:rPr>
        <w:t xml:space="preserve"> → </w:t>
      </w:r>
      <w:r>
        <w:rPr>
          <w:b w:val="false"/>
          <w:bCs w:val="false"/>
          <w:sz w:val="20"/>
          <w:szCs w:val="20"/>
        </w:rPr>
        <w:t xml:space="preserve">Revenue recognition on completion (currently +116% YoY, margin contracting)</w:t>
      </w:r>
      <w:r>
        <w:rPr>
          <w:color w:val="666666"/>
          <w:sz w:val="20"/>
          <w:szCs w:val="20"/>
        </w:rPr>
        <w:t xml:space="preserve"> → </w:t>
      </w:r>
      <w:r>
        <w:rPr>
          <w:b w:val="false"/>
          <w:bCs w:val="false"/>
          <w:sz w:val="20"/>
          <w:szCs w:val="20"/>
        </w:rPr>
        <w:t xml:space="preserve">PAT growth (currently +77.3% YoY, guided 55-60% FY27)</w:t>
      </w:r>
      <w:r>
        <w:rPr>
          <w:color w:val="666666"/>
          <w:sz w:val="20"/>
          <w:szCs w:val="20"/>
        </w:rPr>
        <w:t xml:space="preserve"> → </w:t>
      </w:r>
      <w:r>
        <w:rPr>
          <w:b w:val="false"/>
          <w:bCs w:val="false"/>
          <w:sz w:val="20"/>
          <w:szCs w:val="20"/>
        </w:rPr>
        <w:t xml:space="preserve">Cash conversion (currently negative OCF, funded by net cash reserves not debt)</w:t>
      </w:r>
    </w:p>
    <w:p>
      <w:pPr>
        <w:spacing w:after="120"/>
      </w:pPr>
      <w:r>
        <w:rPr>
          <w:color w:val="666666"/>
          <w:sz w:val="18"/>
          <w:szCs w:val="18"/>
        </w:rPr>
        <w:t xml:space="preserve">Bottleneck link: Margin stabilisation - EBITDA margin contracted 1160bps YoY even as every top-line metric accelerated.</w:t>
      </w:r>
    </w:p>
    <w:p>
      <w:pPr>
        <w:spacing w:after="120"/>
      </w:pPr>
      <w:r>
        <w:rPr>
          <w:color w:val="666666"/>
          <w:sz w:val="18"/>
          <w:szCs w:val="18"/>
        </w:rPr>
        <w:t xml:space="preserve">Operating leverage: unclear - revenue and PAT are growing fast, but the margin contraction means the operating-leverage story isn't confirmed on a per-unit basis</w:t>
      </w:r>
    </w:p>
    <w:p>
      <w:pPr>
        <w:spacing w:after="120"/>
      </w:pPr>
      <w:r>
        <w:rPr>
          <w:color w:val="666666"/>
          <w:sz w:val="18"/>
          <w:szCs w:val="18"/>
        </w:rPr>
        <w:t xml:space="preserve">Evidenced: Juhu brand premium + Mumbai tailwind; New project launches; Pre-sales/collections growth; Revenue recognition. Still assumed: PAT growth sustaining at the guided 55-60% pace; Margin stabilisation; Cash conversion improving as projects complete.</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2026-09-16</w:t>
            </w:r>
          </w:p>
        </w:tc>
      </w:tr>
      <w:tr>
        <w:tc>
          <w:tcPr>
            <w:tcW w:type="dxa" w:w="3200"/>
            <w:shd w:fill="F2F2F2" w:val="clear"/>
          </w:tcPr>
          <w:p>
            <w:r>
              <w:rPr>
                <w:b/>
                <w:bCs/>
              </w:rPr>
              <w:t xml:space="preserve">Price / multiple</w:t>
            </w:r>
          </w:p>
        </w:tc>
        <w:tc>
          <w:tcPr>
            <w:tcW w:type="dxa" w:w="5800"/>
          </w:tcPr>
          <w:p>
            <w:r>
              <w:t xml:space="preserve">Rs 216 · 41.4x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~41x trailing P/E needs the guided 55-60% FY27 revenue/PAT growth to persist into FY28 to be fair at a real-estate-typical ~15-20x through-cycle exit; the Rs 1,800-2,000 Cr FY27 pre-sales guide and the 6-project launch pipeline support this if margin stabilises</w:t>
            </w:r>
          </w:p>
        </w:tc>
      </w:tr>
      <w:tr>
        <w:tc>
          <w:tcPr>
            <w:tcW w:type="dxa" w:w="3200"/>
            <w:shd w:fill="F2F2F2" w:val="clear"/>
          </w:tcPr>
          <w:p>
            <w:r>
              <w:rPr>
                <w:b/>
                <w:bCs/>
              </w:rPr>
              <w:t xml:space="preserve">Our FY27</w:t>
            </w:r>
          </w:p>
        </w:tc>
        <w:tc>
          <w:tcPr>
            <w:tcW w:type="dxa" w:w="5800"/>
          </w:tcPr>
          <w:p>
            <w:r>
              <w:t xml:space="preserve">Revenue/PAT growth in the guided 55-60% range is plausible given the pre-sales pipeline, though the EBITDA margin trajectory (currently contracting) is the key swing factor for whether PAT growth matches revenue growth</w:t>
            </w:r>
          </w:p>
        </w:tc>
      </w:tr>
      <w:tr>
        <w:tc>
          <w:tcPr>
            <w:tcW w:type="dxa" w:w="3200"/>
            <w:shd w:fill="F2F2F2" w:val="clear"/>
          </w:tcPr>
          <w:p>
            <w:r>
              <w:rPr>
                <w:b/>
                <w:bCs/>
              </w:rPr>
              <w:t xml:space="preserve">Our FY28</w:t>
            </w:r>
          </w:p>
        </w:tc>
        <w:tc>
          <w:tcPr>
            <w:tcW w:type="dxa" w:w="5800"/>
          </w:tcPr>
          <w:p>
            <w:r>
              <w:t xml:space="preserve">Depends on successful execution/completion of the 6 FY27-launched projects and margin recovery; Capital Group's institutional entry is a credible signal that sophisticated investors see this playing out favourably</w:t>
            </w:r>
          </w:p>
        </w:tc>
      </w:tr>
      <w:tr>
        <w:tc>
          <w:tcPr>
            <w:tcW w:type="dxa" w:w="3200"/>
            <w:shd w:fill="F2F2F2" w:val="clear"/>
          </w:tcPr>
          <w:p>
            <w:r>
              <w:rPr>
                <w:b/>
                <w:bCs/>
              </w:rPr>
              <w:t xml:space="preserve">Gap direction</w:t>
            </w:r>
          </w:p>
        </w:tc>
        <w:tc>
          <w:tcPr>
            <w:tcW w:type="dxa" w:w="5800"/>
          </w:tcPr>
          <w:p>
            <w:r>
              <w:t xml:space="preserve">partially-priced</w:t>
            </w:r>
          </w:p>
        </w:tc>
      </w:tr>
      <w:tr>
        <w:tc>
          <w:tcPr>
            <w:tcW w:type="dxa" w:w="3200"/>
            <w:shd w:fill="F2F2F2" w:val="clear"/>
          </w:tcPr>
          <w:p>
            <w:r>
              <w:rPr>
                <w:b/>
                <w:bCs/>
              </w:rPr>
              <w:t xml:space="preserve">Gap type</w:t>
            </w:r>
          </w:p>
        </w:tc>
        <w:tc>
          <w:tcPr>
            <w:tcW w:type="dxa" w:w="5800"/>
          </w:tcPr>
          <w:p>
            <w:r>
              <w:t xml:space="preserve">margin</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The ~41x multiple already credits substantial growth, and Capital Group's stake purchase suggests informed money agrees; the newly-found margin contraction and promoter sale are risks the market may not have fully weighed against the very strong pre-sales headline</w:t>
            </w:r>
          </w:p>
        </w:tc>
      </w:tr>
      <w:tr>
        <w:tc>
          <w:tcPr>
            <w:tcW w:type="dxa" w:w="3200"/>
            <w:shd w:fill="F2F2F2" w:val="clear"/>
          </w:tcPr>
          <w:p>
            <w:r>
              <w:rPr>
                <w:b/>
                <w:bCs/>
              </w:rPr>
              <w:t xml:space="preserve">Evidence quality</w:t>
            </w:r>
          </w:p>
        </w:tc>
        <w:tc>
          <w:tcPr>
            <w:tcW w:type="dxa" w:w="5800"/>
          </w:tcPr>
          <w:p>
            <w:r>
              <w:t xml:space="preserve">moderate</w:t>
            </w:r>
          </w:p>
        </w:tc>
      </w:tr>
    </w:tbl>
    <w:p>
      <w:pPr>
        <w:spacing w:after="120"/>
      </w:pPr>
      <w:r>
        <w:rPr>
          <w:i/>
          <w:iCs/>
          <w:color w:val="666666"/>
          <w:sz w:val="16"/>
          <w:szCs w:val="16"/>
        </w:rPr>
        <w:t xml:space="preserve">no broker consensus; implied path is a reverse-P/E estimate + screener.in forward figures + VP thread view (no VP thread exists for this name)</w:t>
      </w:r>
    </w:p>
    <w:p>
      <w:pPr>
        <w:spacing w:after="120" w:before="120"/>
      </w:pPr>
      <w:r>
        <w:rPr>
          <w:b/>
          <w:bCs/>
          <w:sz w:val="20"/>
          <w:szCs w:val="20"/>
        </w:rPr>
        <w:t xml:space="preserve">Catalyst: </w:t>
      </w:r>
      <w:r>
        <w:rPr>
          <w:sz w:val="20"/>
          <w:szCs w:val="20"/>
        </w:rPr>
        <w:t xml:space="preserve">Q2/Q3 FY27 results confirming whether the EBITDA margin contraction reverses and whether the guided 55-60% revenue/PAT growth and Rs 1,800-2,000 Cr pre-sales target stay on track across the 4 additional FY27 project launches</w:t>
      </w:r>
      <w:r>
        <w:rPr>
          <w:color w:val="666666"/>
          <w:sz w:val="18"/>
          <w:szCs w:val="18"/>
        </w:rPr>
        <w:t xml:space="preserve"> (window ~6M from 2026-09-16; undated; evidence med; pending)</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Value chain &amp; supply side: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Theme</w:t>
            </w:r>
          </w:p>
        </w:tc>
        <w:tc>
          <w:tcPr>
            <w:tcW w:type="dxa" w:w="5800"/>
          </w:tcPr>
          <w:p>
            <w:r>
              <w:t xml:space="preserve">Mumbai luxury/redevelopment real-estate developers (asset-light JDA model)</w:t>
            </w:r>
          </w:p>
        </w:tc>
      </w:tr>
      <w:tr>
        <w:tc>
          <w:tcPr>
            <w:tcW w:type="dxa" w:w="3200"/>
            <w:shd w:fill="F2F2F2" w:val="clear"/>
          </w:tcPr>
          <w:p>
            <w:r>
              <w:rPr>
                <w:b/>
                <w:bCs/>
              </w:rPr>
              <w:t xml:space="preserve">This company's position</w:t>
            </w:r>
          </w:p>
        </w:tc>
        <w:tc>
          <w:tcPr>
            <w:tcW w:type="dxa" w:w="5800"/>
          </w:tcPr>
          <w:p>
            <w:r>
              <w:t xml:space="preserve">Luxury residential developer under the 'Lotus Developers' brand, commanding a ~22% pricing premium in the Juhu micro-market; scaling via joint-development agreements (JDAs) rather than outright land acquisition, avoiding heavy land-bank debt</w:t>
            </w:r>
          </w:p>
        </w:tc>
      </w:tr>
      <w:tr>
        <w:tc>
          <w:tcPr>
            <w:tcW w:type="dxa" w:w="3200"/>
            <w:shd w:fill="F2F2F2" w:val="clear"/>
          </w:tcPr>
          <w:p>
            <w:r>
              <w:rPr>
                <w:b/>
                <w:bCs/>
              </w:rPr>
              <w:t xml:space="preserve">Bottleneck node (pricing power)</w:t>
            </w:r>
          </w:p>
        </w:tc>
        <w:tc>
          <w:tcPr>
            <w:tcW w:type="dxa" w:w="5800"/>
          </w:tcPr>
          <w:p>
            <w:r>
              <w:t xml:space="preserve">JDA sourcing and construction/inventory-cycle cash conversion - the confirmed, live constraint this pass (WC days 392-&gt;520, inventory days 717), though funded by cash reserves rather than debt</w:t>
            </w:r>
          </w:p>
        </w:tc>
      </w:tr>
      <w:tr>
        <w:tc>
          <w:tcPr>
            <w:tcW w:type="dxa" w:w="3200"/>
            <w:shd w:fill="F2F2F2" w:val="clear"/>
          </w:tcPr>
          <w:p>
            <w:r>
              <w:rPr>
                <w:b/>
                <w:bCs/>
              </w:rPr>
              <w:t xml:space="preserve">Supply-side status</w:t>
            </w:r>
          </w:p>
        </w:tc>
        <w:tc>
          <w:tcPr>
            <w:tcW w:type="dxa" w:w="5800"/>
          </w:tcPr>
          <w:p>
            <w:r>
              <w:t xml:space="preserve">adding</w:t>
            </w:r>
          </w:p>
        </w:tc>
      </w:tr>
      <w:tr>
        <w:tc>
          <w:tcPr>
            <w:tcW w:type="dxa" w:w="3200"/>
            <w:shd w:fill="F2F2F2" w:val="clear"/>
          </w:tcPr>
          <w:p>
            <w:r>
              <w:rPr>
                <w:b/>
                <w:bCs/>
              </w:rPr>
              <w:t xml:space="preserve">Adjacent-node peers</w:t>
            </w:r>
          </w:p>
        </w:tc>
        <w:tc>
          <w:tcPr>
            <w:tcW w:type="dxa" w:w="5800"/>
          </w:tcPr>
          <w:p>
            <w:r>
              <w:t xml:space="preserve">Oberoi Realty, Godrej Properties, Rustomjee (unlisted)</w:t>
            </w:r>
          </w:p>
        </w:tc>
      </w:tr>
    </w:tbl>
    <w:p>
      <w:pPr>
        <w:spacing w:after="120"/>
      </w:pPr>
      <w:r>
        <w:rPr>
          <w:color w:val="666666"/>
          <w:sz w:val="18"/>
          <w:szCs w:val="18"/>
        </w:rPr>
        <w:t xml:space="preserve">The Mumbai luxury-redevelopment tailwind and the JDA asset-light model are real and increasingly institutionally recognised (Capital Group's stake purchase); the company-specific risk this pass is margin and cash-conversion quality during a period of rapid project-launch scaling, not the underlying demand thesis.</w:t>
      </w:r>
    </w:p>
    <w:p>
      <w:pPr>
        <w:spacing w:after="60" w:before="120"/>
      </w:pPr>
      <w:r>
        <w:rPr>
          <w:b/>
          <w:bCs/>
          <w:sz w:val="20"/>
          <w:szCs w:val="20"/>
        </w:rPr>
        <w:t xml:space="preserve">Earnings quality: </w:t>
      </w:r>
      <w:r>
        <w:rPr>
          <w:sz w:val="20"/>
          <w:szCs w:val="20"/>
        </w:rPr>
        <w:t xml:space="preserve">margin driver mixed</w:t>
      </w:r>
      <w:r>
        <w:rPr>
          <w:b/>
          <w:bCs/>
          <w:color w:val="A32020"/>
          <w:sz w:val="20"/>
          <w:szCs w:val="20"/>
        </w:rPr>
        <w:t xml:space="preserve">  — PEAK-MARGIN RISK: do not capitalise current margins</w:t>
      </w:r>
    </w:p>
    <w:p>
      <w:pPr>
        <w:spacing w:after="120"/>
      </w:pPr>
      <w:r>
        <w:rPr>
          <w:color w:val="666666"/>
          <w:sz w:val="18"/>
          <w:szCs w:val="18"/>
        </w:rPr>
        <w:t xml:space="preserve">Drivers: Rapid revenue growth from newly launched, possibly lower-margin or earlier-stage projects diluting blended EBITDA margin; Real-estate percentage-of-completion/inventory-cycle accounting driving the FY26 operating-cash-flow deficit, distinct from a demand or collection problem (collections themselves grew +115% YoY).</w:t>
      </w:r>
    </w:p>
    <w:p>
      <w:pPr>
        <w:spacing w:after="120"/>
      </w:pPr>
      <w:r>
        <w:rPr>
          <w:color w:val="666666"/>
          <w:sz w:val="18"/>
          <w:szCs w:val="18"/>
        </w:rPr>
        <w:t xml:space="preserve">The prior period's 36.4%+1160bps (i.e. ~48%) EBITDA margin may have reflected a favourable one-off project mix; 36.4% is still a strong margin in absolute terms for real estate, but the direction (down, not up) is the opposite of what the headline PAT growth might suggest.</w:t>
      </w:r>
    </w:p>
    <w:p>
      <w:pPr>
        <w:spacing w:after="60" w:before="120"/>
      </w:pPr>
      <w:r>
        <w:rPr>
          <w:b/>
          <w:bCs/>
          <w:sz w:val="20"/>
          <w:szCs w:val="20"/>
        </w:rPr>
        <w:t xml:space="preserve">Growth trajectory: </w:t>
      </w:r>
      <w:r>
        <w:rPr>
          <w:b w:val="false"/>
          <w:bCs w:val="false"/>
          <w:sz w:val="20"/>
          <w:szCs w:val="20"/>
        </w:rPr>
        <w:t xml:space="preserve">YoY growth rate is accelerating</w:t>
      </w:r>
    </w:p>
    <w:p>
      <w:pPr>
        <w:spacing w:after="120"/>
      </w:pPr>
      <w:r>
        <w:rPr>
          <w:color w:val="666666"/>
          <w:sz w:val="18"/>
          <w:szCs w:val="18"/>
        </w:rPr>
        <w:t xml:space="preserve">Revenue +116% YoY, PAT +77.3% YoY, pre-sales +567% YoY, collections +115% YoY in Q1 FY27 - genuinely accelerating on nearly every top-line/booking metric, even as EBITDA margin contracted 1160bps YoY.</w:t>
      </w:r>
    </w:p>
    <w:p>
      <w:pPr>
        <w:spacing w:after="120"/>
      </w:pPr>
      <w:r>
        <w:rPr>
          <w:color w:val="666666"/>
          <w:sz w:val="18"/>
          <w:szCs w:val="18"/>
        </w:rPr>
        <w:t xml:space="preserve">Reverse P/E: ~41x trailing P/E needs the guided 55-60% FY27 revenue/PAT growth to sustain for the multiple to look reasonable at a real-estate-typical ~15-20x through-cycle exit; the pre-sales pipeline (Rs 1,800-2,000 Cr guided) supports this if margin stabilises.</w:t>
      </w:r>
    </w:p>
    <w:p>
      <w:pPr>
        <w:spacing w:after="120"/>
      </w:pPr>
      <w:r>
        <w:rPr>
          <w:b/>
          <w:bCs/>
          <w:sz w:val="20"/>
          <w:szCs w:val="20"/>
        </w:rPr>
        <w:t xml:space="preserve">Management quality (TVGP's "P"):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neutral</w:t>
            </w:r>
          </w:p>
        </w:tc>
      </w:tr>
      <w:tr>
        <w:tc>
          <w:tcPr>
            <w:tcW w:type="dxa" w:w="3200"/>
            <w:shd w:fill="F2F2F2" w:val="clear"/>
          </w:tcPr>
          <w:p>
            <w:r>
              <w:rPr>
                <w:b/>
                <w:bCs/>
              </w:rPr>
              <w:t xml:space="preserve">Capital allocation</w:t>
            </w:r>
          </w:p>
        </w:tc>
        <w:tc>
          <w:tcPr>
            <w:tcW w:type="dxa" w:w="5800"/>
          </w:tcPr>
          <w:p>
            <w:r>
              <w:t xml:space="preserve">Funding rapid multi-project launches (6 planned in FY27, combined GDV ~Rs 4,850-5,350 Cr) from internal cash reserves rather than debt (borrowings remain minimal at ~Rs 131 Cr) - a disciplined, low-leverage growth approach even as working capital stretches. (disciplined)</w:t>
            </w:r>
          </w:p>
        </w:tc>
      </w:tr>
      <w:tr>
        <w:tc>
          <w:tcPr>
            <w:tcW w:type="dxa" w:w="3200"/>
            <w:shd w:fill="F2F2F2" w:val="clear"/>
          </w:tcPr>
          <w:p>
            <w:r>
              <w:rPr>
                <w:b/>
                <w:bCs/>
              </w:rPr>
              <w:t xml:space="preserve">Related-party trend</w:t>
            </w:r>
          </w:p>
        </w:tc>
        <w:tc>
          <w:tcPr>
            <w:tcW w:type="dxa" w:w="5800"/>
          </w:tcPr>
          <w:p>
            <w:r>
              <w:t xml:space="preserve">unclear</w:t>
            </w:r>
          </w:p>
        </w:tc>
      </w:tr>
      <w:tr>
        <w:tc>
          <w:tcPr>
            <w:tcW w:type="dxa" w:w="3200"/>
            <w:shd w:fill="F2F2F2" w:val="clear"/>
          </w:tcPr>
          <w:p>
            <w:r>
              <w:rPr>
                <w:b/>
                <w:bCs/>
              </w:rPr>
              <w:t xml:space="preserve">Guidance credibility</w:t>
            </w:r>
          </w:p>
        </w:tc>
        <w:tc>
          <w:tcPr>
            <w:tcW w:type="dxa" w:w="5800"/>
          </w:tcPr>
          <w:p>
            <w:r>
              <w:t xml:space="preserve">unclear</w:t>
            </w:r>
          </w:p>
        </w:tc>
      </w:tr>
      <w:tr>
        <w:tc>
          <w:tcPr>
            <w:tcW w:type="dxa" w:w="3200"/>
            <w:shd w:fill="F2F2F2" w:val="clear"/>
          </w:tcPr>
          <w:p>
            <w:r>
              <w:rPr>
                <w:b/>
                <w:bCs/>
              </w:rPr>
              <w:t xml:space="preserve">Shareholder returns</w:t>
            </w:r>
          </w:p>
        </w:tc>
        <w:tc>
          <w:tcPr>
            <w:tcW w:type="dxa" w:w="5800"/>
          </w:tcPr>
          <w:p>
            <w:r>
              <w:t xml:space="preserve">none</w:t>
            </w:r>
          </w:p>
        </w:tc>
      </w:tr>
      <w:tr>
        <w:tc>
          <w:tcPr>
            <w:tcW w:type="dxa" w:w="3200"/>
            <w:shd w:fill="F2F2F2" w:val="clear"/>
          </w:tcPr>
          <w:p>
            <w:r>
              <w:rPr>
                <w:b/>
                <w:bCs/>
              </w:rPr>
              <w:t xml:space="preserve">Capability ladder / VAP</w:t>
            </w:r>
          </w:p>
        </w:tc>
        <w:tc>
          <w:tcPr>
            <w:tcW w:type="dxa" w:w="5800"/>
          </w:tcPr>
          <w:p>
            <w:r>
              <w:t xml:space="preserve">Scaling from a single-micro-market (Juhu) luxury brand toward a broader multi-project Mumbai pipeline (Andheri West, Prabhadevi and more) - a real geographic/scale progression.</w:t>
            </w:r>
          </w:p>
        </w:tc>
      </w:tr>
    </w:tbl>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21.2% (unclear)</w:t>
            </w:r>
          </w:p>
        </w:tc>
      </w:tr>
      <w:tr>
        <w:tc>
          <w:tcPr>
            <w:tcW w:type="dxa" w:w="3200"/>
            <w:shd w:fill="F2F2F2" w:val="clear"/>
          </w:tcPr>
          <w:p>
            <w:r>
              <w:rPr>
                <w:b/>
                <w:bCs/>
              </w:rPr>
              <w:t xml:space="preserve">Leverage</w:t>
            </w:r>
          </w:p>
        </w:tc>
        <w:tc>
          <w:tcPr>
            <w:tcW w:type="dxa" w:w="5800"/>
          </w:tcPr>
          <w:p>
            <w:r>
              <w:t xml:space="preserve">Net debt/EBITDA -2x</w:t>
            </w:r>
          </w:p>
        </w:tc>
      </w:tr>
      <w:tr>
        <w:tc>
          <w:tcPr>
            <w:tcW w:type="dxa" w:w="3200"/>
            <w:shd w:fill="F2F2F2" w:val="clear"/>
          </w:tcPr>
          <w:p>
            <w:r>
              <w:rPr>
                <w:b/>
                <w:bCs/>
              </w:rPr>
              <w:t xml:space="preserve">FCF conversion</w:t>
            </w:r>
          </w:p>
        </w:tc>
        <w:tc>
          <w:tcPr>
            <w:tcW w:type="dxa" w:w="5800"/>
          </w:tcPr>
          <w:p>
            <w:r>
              <w:t xml:space="preserve">-169%</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unclear</w:t>
            </w:r>
          </w:p>
        </w:tc>
      </w:tr>
    </w:tbl>
    <w:p>
      <w:pPr>
        <w:pStyle w:val="Heading1"/>
        <w:spacing w:after="120" w:before="280"/>
      </w:pPr>
      <w:r>
        <w:t xml:space="preserve">Technical Read (Weekly / Monthly MACD + Bollinger Bands, or RSI/CCI/Williams %R proxy)</w:t>
      </w:r>
    </w:p>
    <w:p>
      <w:pPr>
        <w:spacing w:after="120"/>
      </w:pPr>
      <w:r>
        <w:t xml:space="preserve">Trading near its all-time/52-week high (~Rs 216 vs range Rs 102-215) - strong recent price momentum consistent with the growth print and the Capital Group stake purchase.</w:t>
      </w:r>
    </w:p>
    <w:p>
      <w:pPr>
        <w:pStyle w:val="Heading1"/>
        <w:spacing w:after="120" w:before="280"/>
      </w:pPr>
      <w:r>
        <w:t xml:space="preserve">ValuePickr Community Signal</w:t>
      </w:r>
    </w:p>
    <w:p>
      <w:pPr>
        <w:spacing w:after="120"/>
      </w:pPr>
      <w:r>
        <w:t xml:space="preserve">No dedicated ValuePickr thread found under 'Sri Lotus Developers' or 'Lotus Developers Realty' (forum search returned no matches, re-confirmed this pass) - likely too recently listed (2025) to have an established community thread yet.</w:t>
      </w:r>
    </w:p>
    <w:p>
      <w:pPr>
        <w:spacing w:after="120"/>
      </w:pPr>
      <w:r>
        <w:rPr>
          <w:b/>
          <w:bCs/>
          <w:sz w:val="20"/>
          <w:szCs w:val="20"/>
        </w:rPr>
        <w:t xml:space="preserve">High-conviction call from a top contributor: </w:t>
      </w:r>
      <w:r>
        <w:rPr>
          <w:sz w:val="20"/>
          <w:szCs w:val="20"/>
        </w:rPr>
        <w:t xml:space="preserve">None found - no ValuePickr thread resolved for this name.</w:t>
      </w:r>
    </w:p>
    <w:p>
      <w:pPr>
        <w:pStyle w:val="Heading1"/>
        <w:spacing w:after="120" w:before="280"/>
      </w:pPr>
      <w:r>
        <w:t xml:space="preserve">BSE Corporate Actions / Other Red Flags</w:t>
      </w:r>
    </w:p>
    <w:p>
      <w:pPr>
        <w:spacing w:after="120"/>
      </w:pPr>
      <w:r>
        <w:t xml:space="preserve">Statutory auditor (T.P. Ostwal &amp; Associates LLP) issued an unmodified opinion on both standalone and consolidated FY26 financials - no auditor concern. A GST Show Cause Notice (April 2026, covering FY21-22/22-23/23-24, alleged FY21-22 liability Rs 3.58 Cr) was received; company states no material impact - not escalated to a red flag given the modest quantum and company's own materiality assessment. Promoters confirmed no new share encumbrances in FY26, though promoter Anand Kamalnayan Pandit sold 97.7 lakh shares (Sep 10, 2026) - an outright sale, not a pledge, reducing holding from 81.86% to 79.87%.</w:t>
      </w:r>
    </w:p>
    <w:p>
      <w:pPr>
        <w:pStyle w:val="Heading1"/>
        <w:spacing w:after="120" w:before="280"/>
      </w:pPr>
      <w:r>
        <w:t xml:space="preserve">Bull Case</w:t>
      </w:r>
    </w:p>
    <w:p>
      <w:pPr>
        <w:pStyle w:val="ListParagraph"/>
        <w:numPr>
          <w:ilvl w:val="0"/>
          <w:numId w:val="1"/>
        </w:numPr>
        <w:spacing w:after="60"/>
      </w:pPr>
      <w:r>
        <w:t xml:space="preserve">Explosive forward-looking momentum: Q1 FY27 pre-sales +567% YoY (Rs 409 Cr), with FY27 guidance of Rs 1,800-2,000 Cr pre-sales and 55-60% revenue/PAT growth, backed by 6 total project launches planned for FY27 (2 done, GDV Rs 1,350 Cr; 4 more, GDV Rs 3,500-4,000 Cr)</w:t>
      </w:r>
    </w:p>
    <w:p>
      <w:pPr>
        <w:pStyle w:val="ListParagraph"/>
        <w:numPr>
          <w:ilvl w:val="0"/>
          <w:numId w:val="1"/>
        </w:numPr>
        <w:spacing w:after="60"/>
      </w:pPr>
      <w:r>
        <w:t xml:space="preserve">Credible new institutional validation: Capital Group (a major global asset manager) bought a 1.95% stake for ~Rs 190 Cr in September 2026</w:t>
      </w:r>
    </w:p>
    <w:p>
      <w:pPr>
        <w:pStyle w:val="ListParagraph"/>
        <w:numPr>
          <w:ilvl w:val="0"/>
          <w:numId w:val="1"/>
        </w:numPr>
        <w:spacing w:after="60"/>
      </w:pPr>
      <w:r>
        <w:t xml:space="preserve">Quantifiable brand premium (22% pricing premium in the Juhu luxury micro-market) is a real moat element; asset-light JDA model avoids heavy land-bank debt</w:t>
      </w:r>
    </w:p>
    <w:p>
      <w:pPr>
        <w:pStyle w:val="ListParagraph"/>
        <w:numPr>
          <w:ilvl w:val="0"/>
          <w:numId w:val="1"/>
        </w:numPr>
        <w:spacing w:after="60"/>
      </w:pPr>
      <w:r>
        <w:t xml:space="preserve">Almost debt-free with substantial net cash (~Rs 401-623 Cr) funding the current growth phase without leverage risk; clean, unmodified audit opinion</w:t>
      </w:r>
    </w:p>
    <w:p>
      <w:pPr>
        <w:pStyle w:val="Heading1"/>
        <w:spacing w:after="120" w:before="280"/>
      </w:pPr>
      <w:r>
        <w:t xml:space="preserve">Bear Case / Key Risks</w:t>
      </w:r>
    </w:p>
    <w:p>
      <w:pPr>
        <w:pStyle w:val="ListParagraph"/>
        <w:numPr>
          <w:ilvl w:val="0"/>
          <w:numId w:val="1"/>
        </w:numPr>
        <w:spacing w:after="60"/>
      </w:pPr>
      <w:r>
        <w:t xml:space="preserve">EBITDA margin contracted sharply (-1160bps YoY to 36.4%) even as revenue/PAT grew - a real quality-of-growth caution the original pass did not surface</w:t>
      </w:r>
    </w:p>
    <w:p>
      <w:pPr>
        <w:pStyle w:val="ListParagraph"/>
        <w:numPr>
          <w:ilvl w:val="0"/>
          <w:numId w:val="1"/>
        </w:numPr>
        <w:spacing w:after="60"/>
      </w:pPr>
      <w:r>
        <w:t xml:space="preserve">FY26 operating cash flow was -Rs 326 Cr with working-capital/inventory days deteriorating (392-&gt;520 WC days, 717 inventory days) - typical for a developer mid-build, but a real cash-conversion lag nonetheless</w:t>
      </w:r>
    </w:p>
    <w:p>
      <w:pPr>
        <w:pStyle w:val="ListParagraph"/>
        <w:numPr>
          <w:ilvl w:val="0"/>
          <w:numId w:val="1"/>
        </w:numPr>
        <w:spacing w:after="60"/>
      </w:pPr>
      <w:r>
        <w:t xml:space="preserve">Promoter sold 97.7 lakh shares on Sep 10, 2026 (~2pp of holding, fresh and dated) - a modest but real insider-selling signal, even though the pledge status remains clean</w:t>
      </w:r>
    </w:p>
    <w:p>
      <w:pPr>
        <w:pStyle w:val="ListParagraph"/>
        <w:numPr>
          <w:ilvl w:val="0"/>
          <w:numId w:val="1"/>
        </w:numPr>
        <w:spacing w:after="60"/>
      </w:pPr>
      <w:r>
        <w:t xml:space="preserve">Very short public track record (2025 IPO) - one strong quarter/pre-sales print is not yet a proven multi-year pattern in an inherently lumpy, project-completion-driven business</w:t>
      </w:r>
    </w:p>
    <w:p>
      <w:pPr>
        <w:pStyle w:val="ListParagraph"/>
        <w:numPr>
          <w:ilvl w:val="0"/>
          <w:numId w:val="1"/>
        </w:numPr>
        <w:spacing w:after="60"/>
      </w:pPr>
      <w:r>
        <w:t xml:space="preserve">~41x P/E is rich for a real-estate developer, a sector that historically trades at much lower multiples; a minor GST Show Cause Notice remains open (company says immaterial)</w:t>
      </w:r>
    </w:p>
    <w:p>
      <w:pPr>
        <w:pStyle w:val="Heading1"/>
        <w:spacing w:after="120" w:before="280"/>
      </w:pPr>
      <w:r>
        <w:t xml:space="preserve">Market-Cap Tier (informational — not a gate in this project)</w:t>
      </w:r>
    </w:p>
    <w:p>
      <w:pPr>
        <w:spacing w:after="120"/>
      </w:pPr>
      <w:r>
        <w:rPr>
          <w:b/>
          <w:bCs/>
        </w:rPr>
        <w:t xml:space="preserve">Small-cap (~Rs 10,643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yes · TAM: yes · moat: yes · valuation: no  (score 3 / 4)</w:t>
      </w:r>
    </w:p>
    <w:p>
      <w:pPr>
        <w:spacing w:after="120"/>
      </w:pPr>
      <w:r>
        <w:rPr>
          <w:i/>
          <w:iCs/>
          <w:color w:val="666666"/>
          <w:sz w:val="20"/>
          <w:szCs w:val="20"/>
        </w:rPr>
        <w:t xml:space="preserve">Mumbai luxury real-estate cycle and asset-light JDA scaling support tailwind/tam, now reinforced by Capital Group's institutional stake purchase; a quantifiable 22% brand premium in the Juhu micro-market supports moat; valuation remains rich at ~41x P/E. Score permits a 10x/100x label given the +115.8% YoY revenue print and 567% YoY pre-sales growth, tempered by this pass's margin-contraction and promoter-sale findings reflected in conviction rather than the box itself.</w:t>
      </w:r>
    </w:p>
    <w:p>
      <w:pPr>
        <w:pStyle w:val="Heading1"/>
        <w:spacing w:after="120" w:before="280"/>
      </w:pPr>
      <w:r>
        <w:t xml:space="preserve">Verdict</w:t>
      </w:r>
    </w:p>
    <w:p>
      <w:pPr>
        <w:spacing w:after="120"/>
      </w:pPr>
      <w:r>
        <w:rPr>
          <w:b/>
          <w:bCs/>
          <w:sz w:val="24"/>
          <w:szCs w:val="24"/>
        </w:rPr>
        <w:t xml:space="preserve">Asset-light Mumbai luxury developer with explosive forward pre-sales growth and a credible new institutional backer (Capital Group) - but this pass found a fresh promoter share sale, real margin contraction, and a real-estate-typical (not distress-driven) cash-flow drain the original light pass did not surface. Conviction downgraded modestly to Low-Medium; four_box and thesis_fit retained given the growth math and clean audit/pledge status.</w:t>
      </w:r>
    </w:p>
    <w:p>
      <w:pPr>
        <w:pStyle w:val="ListParagraph"/>
        <w:numPr>
          <w:ilvl w:val="0"/>
          <w:numId w:val="1"/>
        </w:numPr>
        <w:spacing w:after="60"/>
      </w:pPr>
      <w:r>
        <w:t xml:space="preserve">Deep-dive pass 1 found a more mixed picture than the original 'no red flags' pass: genuinely positive new facts (Capital Group's Rs 190 Cr stake purchase, explosive pre-sales growth, strong FY27 guidance, a clean/unmodified audit opinion) alongside genuinely new cautions (a fresh ~2pp promoter share sale on Sep 10, 2026, a 1160bps EBITDA margin contraction, and a large FY26 operating-cash-flow deficit).</w:t>
      </w:r>
    </w:p>
    <w:p>
      <w:pPr>
        <w:pStyle w:val="ListParagraph"/>
        <w:numPr>
          <w:ilvl w:val="0"/>
          <w:numId w:val="1"/>
        </w:numPr>
        <w:spacing w:after="60"/>
      </w:pPr>
      <w:r>
        <w:t xml:space="preserve">The cash-flow/working-capital deterioration is judged less severe than similar findings at other names reviewed recently in this project, because it is funded from the company's own substantial net cash reserves (not debt or a promoter pledge) and is structurally typical of a real-estate developer mid-construction across multiple new project launches - not escalated to HIGH CAUTION.</w:t>
      </w:r>
    </w:p>
    <w:p>
      <w:pPr>
        <w:pStyle w:val="ListParagraph"/>
        <w:numPr>
          <w:ilvl w:val="0"/>
          <w:numId w:val="1"/>
        </w:numPr>
        <w:spacing w:after="60"/>
      </w:pPr>
      <w:r>
        <w:t xml:space="preserve">The promoter sale is modest (~2pp, holding remains a very high 79.87%) and pledge status remains clean (no new encumbrances confirmed) - not treated as a promoter-holding-collapse-tier event, but flagged as a fresh, dated caution worth monitoring.</w:t>
      </w:r>
    </w:p>
    <w:p>
      <w:pPr>
        <w:pStyle w:val="ListParagraph"/>
        <w:numPr>
          <w:ilvl w:val="0"/>
          <w:numId w:val="1"/>
        </w:numPr>
        <w:spacing w:after="60"/>
      </w:pPr>
      <w:r>
        <w:t xml:space="preserve">four_box unchanged at 3.0 (tailwind yes, tam yes, moat yes, valuation no - still rich at ~41x P/E); thesis_fit retained at 10x-in-2-3-years given the growth math (guided 55-60% growth, huge pre-sales pipeline) remains genuinely intact.</w:t>
      </w:r>
    </w:p>
    <w:p>
      <w:pPr>
        <w:pStyle w:val="ListParagraph"/>
        <w:numPr>
          <w:ilvl w:val="0"/>
          <w:numId w:val="1"/>
        </w:numPr>
        <w:spacing w:after="60"/>
      </w:pPr>
      <w:r>
        <w:t xml:space="preserve">Conviction: Medium -&gt; Low-Medium (modest downgrade reflecting the newly-found promoter sale and margin contraction, balanced against the genuinely positive Capital Group validation and strong forward guidance) - a materially less severe downgrade than this project's HIGH CAUTION findings this run.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2026-09-16T14:50:43.830Z</dcterms:created>
  <dcterms:modified xsi:type="dcterms:W3CDTF">2026-09-16T14:50:43.836Z</dcterms:modified>
</cp:coreProperties>
</file>

<file path=docProps/custom.xml><?xml version="1.0" encoding="utf-8"?>
<Properties xmlns="http://schemas.openxmlformats.org/officeDocument/2006/custom-properties" xmlns:vt="http://schemas.openxmlformats.org/officeDocument/2006/docPropsVTypes"/>
</file>