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Pistons &amp; Rings Ltd (SPR Auto Technologies)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Best-in-class piston/rings/valves leader diversifying into EV motors, precision molding and (via Antolin) auto interiors - excellent quality, but already a ~Rs 20,000 Cr large-cap at an all-time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SPRL is India's leading manufacturer of pistons, piston pins, piston rings and engine valves (brands SPR, USHA), supplying virtually all domestic OEMs plus exports and a large aftermarket. It is deliberately diversifying to be 'powertrain-agnostic': EMFI electric-vehicle motors/controllers (Coimbatore, ICAT + PM E-Drive approved), precision plastic injection molding (TGPEL acquisition), and, most recently, the acquisition of Grupo Antolin's India operations (auto interiors/lighting). Technology partnerships with global majors (Kolbenschmidt/KS, Takahata).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19,626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~17.4% (above benchmark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~13.4%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~19% CAGR long-run; Q2 FY26 revenue +16%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cash; debt/EBITDA ~0.66x, net-debt/equity ~-0.25x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Up ~100% in the last year to an all-time high near Rs 3,759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Financially this is a high-quality compounder: ROE ~17%, ROCE ~13%, ~19% long-run revenue CAGR, net cash, a well-regarded CFO and consistent execution. The core piston/rings franchise benefits from BS6 complexity, ethanol/flex-fuel blending (SPR is sole piston supplier for Bajaj's Freedom 125 CNG bike and supplies up to 85% ethanol blends), and a large aftermarket. The diversification (EMFI motors, molding, Antolin) is real but early and acquisition-funded. The constraint for this project's thesis is price and size: the stock has doubled in a year to an all-time high and the market cap is ~Rs 20,000 Cr.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pulled, but multiple sources confirm the stock is at an all-time high (~Rs 3,759) after a ~100% one-year gain - strong momentum, extended.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46 posts (Jun 2024 to Aug 2026). Sentiment is uniformly positive and thesis-driven: trusted user GourabPaul (elevated) wrote the anchor posts in 2024 on the powertrain-agnostic strategy, the aftermarket opportunity (~10 Cr vehicles needing piston overhaul), ~55% long-cycle gross margin, and the ethanol/CNG/flex-fuel technology edge. 2025-26 posts track a steady cadence of small bolt-on acquisitions (TGPEL, Karna Intertech) culminating in the December 2025 Grupo Antolin India acquisition, which drove a three-day rally to fresh highs (trusted user Vivek_6954 posted the coverage). No bear case of substance is being argued.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GourabPaul (trusted, elevated) is the thread's thesis author and remains constructive on the diversification-plus-aftermarket story; Vivek_6954 (trusted, elevated) flagged the Antolin-driven breakout. Positive but no explicit position-sizing / 'core holding' language, and no trusted user is calling it cheap at current levels.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"Timex Sh Piston GHFL Nuvama Nippo n Icici amc Uno Minda Acutaas Privi and more stocks have been holding for long time now n pyramiding as well on some triggers like good results" (post #1245)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2025-12-23 — Vivek_6954</w:t>
      </w:r>
      <w:r>
        <w:rPr>
          <w:i/>
          <w:iCs/>
          <w:color w:val="666666"/>
          <w:sz w:val="18"/>
          <w:szCs w:val="18"/>
        </w:rPr>
        <w:t xml:space="preserve"> (Shriram Pistons &amp; Rings)</w:t>
      </w:r>
      <w:r>
        <w:rPr>
          <w:sz w:val="20"/>
          <w:szCs w:val="20"/>
        </w:rPr>
        <w:br/>
        <w:t xml:space="preserve">: Flagged the December 2025 Grupo Antolin India acquisition driving a 3-day rally to a fresh 52-week/all-time high; constructive on the diversification story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 run of disclosed, board-approved acquisitions through 2024-25 (TGPEL Precision Engineering ~Rs 220 Cr, Karna Intertech ~Rs 5 Cr) and the December 2025 Grupo Antolin India acquisition. No pledge, no SEBI action, no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advantaged in the ICE-to-alternative-fuel transition (CNG, ethanol up to 85%, flex-fuel, hydrogen-blend) - OEMs outsource this R&amp;D to Tier-1s like SPR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sticky aftermarket (~10 Cr vehicles) plus supply relationships with nearly every domestic OEM enable cross-selling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optionality from EMFI EV motors/controllers (ICAT + PM E-Drive approved) and precision molding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cash, ~17% ROE, disciplined CFO, consistent delivery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20,000 Cr large-cap at an all-time high after a ~100% one-year run - a 10x in 2-3 years would imply a ~Rs 200,000 Cr auto-ancillary, which is not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is acquisition-led and still small relative to the piston core; integration risk (Antolin)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Long-run structural risk to ICE volumes as EV penetration rises, even if slower in 2W/3W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demand (EU/US) has been flat-to-weak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19,626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Verdict explicit: 'fundamentals and management quality are strong (ROE ~17%, net cash, ~19% CAGR, credible powertrain-agnostic strategy)' (tailwind/moat=yes); but 'at ~Rs20,000 Cr and an all-time high after doubling in a year, neither the 10x/2-3yr nor the 100x/10yr bar is achievable' (tam=no, valuation=no).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excellent auto-ancillary compounder that does not fit this project's return thesis - size and an all-time-high entry rule out 10x-in-2-3-years or 100x-in-10-years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and management quality are strong (ROE ~17%, net cash, ~19% CAGR, credible powertrain-agnostic strategy)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~Rs 20,000 Cr and an all-time high after doubling in a year, neither the 10x/2-3yr nor the 100x/10yr bar is achievable without heroic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a quality name to keep on a watch list for a valuation reset rather than a buy for this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2026-09-24T13:57:42.352Z</dcterms:created>
  <dcterms:modified xsi:type="dcterms:W3CDTF">2026-09-24T13:57:42.353Z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