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Timex Group India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High-quality, cash-backed 40%+ growth from an e-commerce channel-mix shift -- but the promoter (Baupost's Timex Group Luxury Watches BV) has cut its stake from ~75% to 51% in a year, growth is decelerating, and the stock trades at ~74x earnings after a 106% run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Timex Group India (TGIL) designs, markets, sells, and services Timex-branded watches in India, and also distributes Guess and Versace watches, having taken over full brand ownership from its former Titan partnership in 2013.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6,600 Cr (price ~Rs 654; +106% in 1yr)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 / P/B / EV/EBITDA</w:t>
            </w:r>
          </w:p>
        </w:tc>
        <w:tc>
          <w:tcPr>
            <w:tcW w:type="dxa" w:w="5800"/>
          </w:tcPr>
          <w:p>
            <w:r>
              <w:t xml:space="preserve">~74x / ~87x / ~45-50x (rich)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82.8% / ~158% (very small equity base amplifies both)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/ FY25 / FY26 Revenue</w:t>
            </w:r>
          </w:p>
        </w:tc>
        <w:tc>
          <w:tcPr>
            <w:tcW w:type="dxa" w:w="5800"/>
          </w:tcPr>
          <w:p>
            <w:r>
              <w:t xml:space="preserve">Rs 419 Cr / Rs 538 Cr / Rs 799 Cr (+48%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FY24 / FY25 / FY26 PAT</w:t>
            </w:r>
          </w:p>
        </w:tc>
        <w:tc>
          <w:tcPr>
            <w:tcW w:type="dxa" w:w="5800"/>
          </w:tcPr>
          <w:p>
            <w:r>
              <w:t xml:space="preserve">Rs 21 Cr / Rs 31 Cr / Rs 75 Cr (PBT +138% FY26)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 results</w:t>
            </w:r>
          </w:p>
        </w:tc>
        <w:tc>
          <w:tcPr>
            <w:tcW w:type="dxa" w:w="5800"/>
          </w:tcPr>
          <w:p>
            <w:r>
              <w:t xml:space="preserve">Revenue Rs 219 Cr (+30% YoY), EBITDA Rs 35.8 Cr (16.3% margin, +63% YoY), PBT Rs 33.8 Cr (+70%), PAT Rs 25 Cr (+70.5%)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Channel mix (Q1 FY27 YoY)</w:t>
            </w:r>
          </w:p>
        </w:tc>
        <w:tc>
          <w:tcPr>
            <w:tcW w:type="dxa" w:w="5800"/>
          </w:tcPr>
          <w:p>
            <w:r>
              <w:t xml:space="preserve">E-commerce +67%, Trade +51%; e-commerce ~40% of revenue (from ~5% four years ago)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~74.93% (Mar 2025) -&gt; 59.93% (Jun 2025 OFS at Rs 175) -&gt; 51.00% (Dec 2025 OFS at Rs 275); parent says no further sales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cash flow</w:t>
            </w:r>
          </w:p>
        </w:tc>
        <w:tc>
          <w:tcPr>
            <w:tcW w:type="dxa" w:w="5800"/>
          </w:tcPr>
          <w:p>
            <w:r>
              <w:t xml:space="preserve">Borrowings Rs 71 Cr (down from Rs 86 Cr); FY26 CFO Rs 91 Cr, FCF Rs 89 Cr (~ PAT), CFO/OP 104%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</w:t>
            </w:r>
          </w:p>
        </w:tc>
        <w:tc>
          <w:tcPr>
            <w:tcW w:type="dxa" w:w="5800"/>
          </w:tcPr>
          <w:p>
            <w:r>
              <w:t xml:space="preserve">None on equity (preference-share dividend only)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growth is real and unusually high-quality: FY26 revenue Rs 799 Cr (+48%), PBT +138%, EBITDA margin stepped from ~13% to 16.3% in Q1 FY27, and cash conversion is excellent (FY26 CFO Rs 91 Cr, FCF Rs 89 Cr roughly equal to PAT, CFO/operating-profit 104%). The structural driver -- e-commerce scaling from ~5% to ~40% of revenue in four years, still +67% YoY in Q1 FY27, with quick-commerce dark stores ramping -- is genuine and continuing. The deep read, however, enlarges the promoter-selling concern the earlier pass treated as minor: Timex Group Luxury Watches BV (ultimately Baupost Group) cut its holding from ~74.93% in March 2025 to 51.00% by June 2026 through two offers for sale -- a 15% tranche in June 2025 at a Rs 175 floor and a further ~9% in December 2025 at a Rs 275 floor -- versus the current Rs 654 price. The parent has since publicly ruled out further sales and reaffirmed control at 51%. Alongside this, Q1 FY27 revenue growth decelerated to +30% from FY26's +48%. At ~74x trailing earnings and ~87x book after a 106% one-year run, the valuation prices in sustained 40%+ compounding that the latest quarter no longer shows.</w:t>
      </w:r>
    </w:p>
    <w:p>
      <w:pPr>
        <w:pStyle w:val="Heading1"/>
        <w:spacing w:after="120" w:before="280"/>
      </w:pPr>
      <w:r>
        <w:t xml:space="preserve">Deep-Dive: Primary Documents (Annual Reports, Quarterly Results, Exchange Filings)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Pass 1 — 2026-08-30. Built from the company's own filings (3 years of annual reports, ~4 quarters of results/concalls, and 6 months of BSE/NSE announcements), read via the web — a deeper layer than the forum-sentiment read below.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Sources reviewed this pass: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FY24-FY26 financials + FY26 results / 38th AGM (20-Aug-2026) coverage (screener.in, scanx, Tribune, Adgully) -- revenue, PBT, channel mix, cash flow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FY26 - Q1 FY27 quarterly results + Q1 FY27 results release (revenue, EBITDA margin, PBT/PAT, channel growth)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BSE/NSE + press 2025-2026: two promoter OFS (Jun-2025 15% at Rs 175 floor; Dec-2025 ~4.47-8.93% at Rs 275 floor), promoter statement ruling out further sales, 38th AGM, BRSR FY26 filing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Annual-report findings (3-year view):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Rs 419 Cr (FY24) -&gt; Rs 538 Cr (FY25) -&gt; Rs 799 Cr (FY26, +48%); PAT Rs 21 Cr -&gt; Rs 31 Cr -&gt; Rs 75 Cr; ~32% revenue CAGR FY22-FY26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Cash conversion is excellent: FY26 CFO Rs 91 Cr, FCF Rs 89 Cr (roughly equal to PAT), CFO/operating-profit 104%; working capital reduced to 48.9 days from 63.2, debtor days 26.6 from 36.1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 sheet light: borrowings Rs 71 Cr (down from Rs 86 Cr FY25); no equity dividend (preference-share dividend Rs 18.22 Cr only)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fell from ~74.93% (Mar-2025) to 51.00% (Jun-2026) -- ~24pp via two OFS; parent (Timex Group Luxury Watches BV / Baupost) has since ruled out further sales and reaffirmed control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Channel mix: e-commerce ~40% of revenue (from ~5% four years ago); trade ~33%, OEM ~15% per the FY26 AGM; value/volume growth split ~50:50 sustained 2-3 years per management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Quarterly trend (last ~4 quarters + concall commentary):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Quarterly OPM is seasonal: Dec-2024 quarter fell to 6% OPM / Rs 3 Cr PAT, then Mar-2025 17% / Rs 27 Cr, Jun-2025 13% / Rs 15 Cr, Sep-2025 17% / Rs 30 Cr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FY27: revenue Rs 219 Cr (+30% YoY), EBITDA Rs 35.8 Cr (16.3% margin, +63% YoY), PBT Rs 33.8 Cr (+70%), PAT Rs 25 Cr (+70.5%) -- strong profit leverage but revenue growth (+30%) is a step down from FY26 (+48%)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channel growth: e-commerce +67%, trade +51%, quick-commerce dark stores expanding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9M FY26 revenue was +40% and Q3 FY26 EBITDA +122% YoY -- FY26 ran hotter than the Q1 FY27 print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Exchange announcements (last 6 months):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Jun-2025: promoter OFS -- 15% stake sold at a Rs 175 floor, promoter holding to 59.93%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Dec-2025: second promoter OFS -- base 4.47% with oversubscription option to 8.93% at a Rs 275 floor, promoter holding to ~51%; stock fell ~8-10% on the announcement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Post-OFS: promoter/parent publicly ruled out any further stake sales, reaffirmed commitment to retain controlling ownership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20-Aug-2026: 38th AGM -- FY26 accounts approved, Director David Thomas Payne reappointed; BRSR FY26 filed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Key new facts vs. the prior write-up: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promoter sell-down is ~24pp (75% -&gt; 51%) over ~9 months, larger than the ~9% the prior pass recorded, executed at Rs 175 and Rs 275 vs the current Rs 654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Parent has now formally committed to no further sales and to retaining control at 51%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Q1 FY27 revenue growth decelerated to +30% from FY26's +48% -- a rate-of-change change that matters at a ~74x multiple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quality is high and verified: FY26 FCF ~ PAT, CFO/operating-profit 104%, working capital compression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Open questions / what to watch: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Is the Q1 FY27 deceleration to +30% a blip or the start of a normalisation as the base scales and e-commerce growth moderates off a larger share?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Does the parent genuinely stop at 51%, and how does an overhang of a known-seller-at-51% weigh on the multiple?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Royalty / related-party payments to the global parent -- quantum and trend not verified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Whether trade-channel +51% is sustainable or a re-stocking effect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Conviction impact: </w:t>
      </w:r>
      <w:r>
        <w:rPr>
          <w:sz w:val="20"/>
          <w:szCs w:val="20"/>
        </w:rPr>
        <w:t xml:space="preserve">Medium-High -&gt; Medium. Growth is real and unusually high-quality (FY26 revenue +48%, FCF ~ PAT, CFO/OP 104%, EBITDA margin 13% -&gt; 16.3%, e-commerce 5% -&gt; 40% of revenue). But the deep read enlarges the promoter-selling concern the prior pass under-weighted -- Timex Group Luxury Watches BV (Baupost) cut its stake from ~75% to 51% via two 2025 OFS at Rs 175 and Rs 275 vs Rs 654 now -- and Q1 FY27 revenue growth decelerated to +30% from FY26's +48%. At ~74x trailing P/E / ~87x P/B after a 106% one-year run, thesis-fit drops to 'neither' and conviction to Medium. Control retained at 51% with a stated end to sales, so not a HIGH CAUTION case.</w:t>
      </w:r>
    </w:p>
    <w:p>
      <w:pPr>
        <w:pStyle w:val="Heading1"/>
        <w:spacing w:after="120" w:before="280"/>
      </w:pPr>
      <w:r>
        <w:t xml:space="preserve">Guidance &amp; Expectation Gap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Management guidance decoded into commitments, graded on the expectation → action → operational → commercial → financial ladder, then compared to what the current price appears to assume. Method: playbook/guidance-and-expectation-gap.md.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Commitment ladder (most-proven first):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400"/>
        <w:gridCol w:w="900"/>
        <w:gridCol w:w="1200"/>
        <w:gridCol w:w="800"/>
      </w:tblGrid>
      <w:tr>
        <w:trPr>
          <w:tblHeader/>
        </w:trPr>
        <w:tc>
          <w:tcPr>
            <w:tcW w:type="dxa" w:w="11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Commitment</w:t>
            </w:r>
          </w:p>
        </w:tc>
        <w:tc>
          <w:tcPr>
            <w:tcW w:type="dxa" w:w="24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Specifics</w:t>
            </w:r>
          </w:p>
        </w:tc>
        <w:tc>
          <w:tcPr>
            <w:tcW w:type="dxa" w:w="9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By when</w:t>
            </w:r>
          </w:p>
        </w:tc>
        <w:tc>
          <w:tcPr>
            <w:tcW w:type="dxa" w:w="12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Stage</w:t>
            </w:r>
          </w:p>
        </w:tc>
        <w:tc>
          <w:tcPr>
            <w:tcW w:type="dxa" w:w="800"/>
            <w:shd w:fill="F2F2F2" w:val="clear"/>
          </w:tcPr>
          <w:p>
            <w:r>
              <w:rPr>
                <w:b/>
                <w:bCs/>
                <w:sz w:val="18"/>
                <w:szCs w:val="18"/>
              </w:rPr>
              <w:t xml:space="preserve">Thesis-critical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new_business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E-commerce (and quick-commerce) channel scaling as the growth engine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e-commerce ~5% -&gt; ~40% of revenue in 4 years; +67% YoY in Q1 FY27; quick-commerce dark stores expanding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strategy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Promoter parent (Baupost's TGLW BV) will make no further stake sales; retains 51% control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 cutting from ~75% to 51% via Jun-2025 and Dec-2025 OFS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beyond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EBITDA-margin expansion on operating leverage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16.3% in Q1 FY27 vs ~13% a year earlier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financial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Capacity scaled to ~10 million watches/year via double-shift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12M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1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growth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Sustained high revenue growth (FY26 +48%); ~50:50 value/volume split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Q1 FY27 delivered +30% -- a step down from FY26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FY27</w:t>
            </w:r>
          </w:p>
        </w:tc>
        <w:tc>
          <w:tcPr>
            <w:tcW w:type="dxa" w:w="1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expectation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sz w:val="20"/>
          <w:szCs w:val="20"/>
        </w:rPr>
        <w:t xml:space="preserve">Earnings chain: </w:t>
      </w:r>
      <w:r>
        <w:rPr>
          <w:b w:val="false"/>
          <w:bCs w:val="false"/>
          <w:sz w:val="20"/>
          <w:szCs w:val="20"/>
        </w:rPr>
        <w:t xml:space="preserve">e-commerce + quick-commerce channel scaling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trade-door productivity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revenue growth ~30-45%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gross margin + operating leverage (asset-light licensee)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EBITDA margin 15-17%</w:t>
      </w:r>
      <w:r>
        <w:rPr>
          <w:color w:val="666666"/>
          <w:sz w:val="20"/>
          <w:szCs w:val="20"/>
        </w:rPr>
        <w:t xml:space="preserve"> → </w:t>
      </w:r>
      <w:r>
        <w:rPr>
          <w:b w:val="false"/>
          <w:bCs w:val="false"/>
          <w:sz w:val="20"/>
          <w:szCs w:val="20"/>
        </w:rPr>
        <w:t xml:space="preserve">PAT / FCF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Bottleneck link: revenue growth ~30-45% (Q1 FY27 already stepped down to +30%).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Operating leverage: yes -- EBITDA margin expanded to 16.3% in Q1 FY27 from ~13%, PBT +70% on revenue +30%; asset-light model with FCF roughly equal to PAT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Evidenced: e-commerce + quick-commerce channel scaling; trade-door productivity; revenue growth ~30-45%; EBITDA margin 15-17%. Still assumed: sustaining the 40%+ growth rate as the base scales.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Market expectation vs. our path: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 of</w:t>
            </w:r>
          </w:p>
        </w:tc>
        <w:tc>
          <w:tcPr>
            <w:tcW w:type="dxa" w:w="5800"/>
          </w:tcPr>
          <w:p>
            <w:r>
              <w:t xml:space="preserve">2026-08-30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multiple</w:t>
            </w:r>
          </w:p>
        </w:tc>
        <w:tc>
          <w:tcPr>
            <w:tcW w:type="dxa" w:w="5800"/>
          </w:tcPr>
          <w:p>
            <w:r>
              <w:t xml:space="preserve">Rs 654 · 74x P/E · 47x EV/EBITDA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Right valuation lens</w:t>
            </w:r>
          </w:p>
        </w:tc>
        <w:tc>
          <w:tcPr>
            <w:tcW w:type="dxa" w:w="5800"/>
          </w:tcPr>
          <w:p>
            <w:r>
              <w:t xml:space="preserve">P/E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implies</w:t>
            </w:r>
          </w:p>
        </w:tc>
        <w:tc>
          <w:tcPr>
            <w:tcW w:type="dxa" w:w="5800"/>
          </w:tcPr>
          <w:p>
            <w:r>
              <w:t xml:space="preserve">~74x trailing P/E on a branded-consumer name implies the market is pricing 40%+ sustained EPS CAGR for several years against, say, a ~38x exit -- essentially a continuation of the FY26 pace, not the +30% Q1 FY27 delivered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FY27</w:t>
            </w:r>
          </w:p>
        </w:tc>
        <w:tc>
          <w:tcPr>
            <w:tcW w:type="dxa" w:w="5800"/>
          </w:tcPr>
          <w:p>
            <w:r>
              <w:t xml:space="preserve">Revenue +25-35% (Q1 ran +30%), EBITDA margin ~15-16%, PAT ~Rs 95-110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Our FY28</w:t>
            </w:r>
          </w:p>
        </w:tc>
        <w:tc>
          <w:tcPr>
            <w:tcW w:type="dxa" w:w="5800"/>
          </w:tcPr>
          <w:p>
            <w:r>
              <w:t xml:space="preserve">Growth rate normalises further as e-commerce share matures; margin holds mid-teens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direction</w:t>
            </w:r>
          </w:p>
        </w:tc>
        <w:tc>
          <w:tcPr>
            <w:tcW w:type="dxa" w:w="5800"/>
          </w:tcPr>
          <w:p>
            <w:r>
              <w:t xml:space="preserve">priced-in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type</w:t>
            </w:r>
          </w:p>
        </w:tc>
        <w:tc>
          <w:tcPr>
            <w:tcW w:type="dxa" w:w="5800"/>
          </w:tcPr>
          <w:p>
            <w:r>
              <w:t xml:space="preserve">duration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magnitude</w:t>
            </w:r>
          </w:p>
        </w:tc>
        <w:tc>
          <w:tcPr>
            <w:tcW w:type="dxa" w:w="5800"/>
          </w:tcPr>
          <w:p>
            <w:r>
              <w:t xml:space="preserve">-8% (our FY28 PAT vs implied)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Gap basis</w:t>
            </w:r>
          </w:p>
        </w:tc>
        <w:tc>
          <w:tcPr>
            <w:tcW w:type="dxa" w:w="5800"/>
          </w:tcPr>
          <w:p>
            <w:r>
              <w:t xml:space="preserve">the ~74x multiple prices a longer runway of 40%+ growth than the latest print supports; with Q1 FY27 at +30% and a known promoter seller at 51%, our FY28 PAT path is likely a touch below what the multiple implies rather than above it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Evidence quality</w:t>
            </w:r>
          </w:p>
        </w:tc>
        <w:tc>
          <w:tcPr>
            <w:tcW w:type="dxa" w:w="5800"/>
          </w:tcPr>
          <w:p>
            <w:r>
              <w:t xml:space="preserve">strong</w:t>
            </w:r>
          </w:p>
        </w:tc>
      </w:tr>
    </w:tbl>
    <w:p>
      <w:pPr>
        <w:spacing w:after="120"/>
      </w:pPr>
      <w:r>
        <w:rPr>
          <w:i/>
          <w:iCs/>
          <w:color w:val="666666"/>
          <w:sz w:val="16"/>
          <w:szCs w:val="16"/>
        </w:rPr>
        <w:t xml:space="preserve">no broker consensus; implied path is a reverse-P/E estimate + screener.in forward figures + VP thread view</w:t>
      </w:r>
    </w:p>
    <w:p>
      <w:pPr>
        <w:spacing w:after="120" w:before="120"/>
      </w:pPr>
      <w:r>
        <w:rPr>
          <w:b/>
          <w:bCs/>
          <w:sz w:val="20"/>
          <w:szCs w:val="20"/>
        </w:rPr>
        <w:t xml:space="preserve">Catalyst: </w:t>
      </w:r>
      <w:r>
        <w:rPr>
          <w:sz w:val="20"/>
          <w:szCs w:val="20"/>
        </w:rPr>
        <w:t xml:space="preserve">H2 FY27 prints showing whether revenue growth re-accelerates toward 40% or settles near 30%, plus confirmation the promoter sell-down is genuinely over (no further OFS / block deal)</w:t>
      </w:r>
      <w:r>
        <w:rPr>
          <w:color w:val="666666"/>
          <w:sz w:val="18"/>
          <w:szCs w:val="18"/>
        </w:rPr>
        <w:t xml:space="preserve"> (window ~9M from 2026-08-30; undated; evidence med; pending)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quality metrics · track record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digital-first, premiumising discretionary consumption in India (branded watches / fashion accessories)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brand licensee and distributor -- Timex India rights plus Guess &amp; Versace distribution; asset-light design / marketing / omnichannel distribution, limited assembly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brand equity + omnichannel distribution reach (D2C / e-commerce / quick-commerce); value is captured in channel mix, not manufacturing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balanced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Titan Company (Watches &amp; Wearables), Ethos, boAt, Noise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Not a capacity-cycle story. The driver is a channel-mix shift -- e-commerce ~5% -&gt; ~40% of revenue in four years, quick-commerce ramping, trade-door productivity up -- in a category where Titan dominates the mass segment and smartwatch players crowd the low end, so Timex's edge is a niche brand plus omnichannel execution rather than a structural moat.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Earnings quality: </w:t>
      </w:r>
      <w:r>
        <w:rPr>
          <w:sz w:val="20"/>
          <w:szCs w:val="20"/>
        </w:rPr>
        <w:t xml:space="preserve">margin driver structural</w:t>
      </w:r>
      <w:r>
        <w:rPr>
          <w:b/>
          <w:bCs/>
          <w:color w:val="A32020"/>
          <w:sz w:val="20"/>
          <w:szCs w:val="20"/>
        </w:rPr>
        <w:t xml:space="preserve"/>
      </w:r>
    </w:p>
    <w:p>
      <w:pPr>
        <w:spacing w:after="120"/>
      </w:pPr>
      <w:r>
        <w:rPr>
          <w:color w:val="666666"/>
          <w:sz w:val="18"/>
          <w:szCs w:val="18"/>
        </w:rPr>
        <w:t xml:space="preserve">Drivers: channel-mix shift to e-commerce / D2C (structural); operating leverage on an asset-light licensee model (structural); trade-door productivity gains (structural); working-capital compression to 49 days from 63 (structural).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EBITDA margin has stepped from ~13% to ~16% on mix and operating leverage with no obvious cyclical or one-off inflator, and FCF roughly equals PAT. Quarterly margin is seasonal (Dec-2024 quarter fell to 6% OPM), so a single strong quarter should not be annualised, but the through-cycle trend is genuinely upward.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/>
          <w:bCs/>
          <w:color w:val="A32020"/>
          <w:sz w:val="20"/>
          <w:szCs w:val="20"/>
        </w:rPr>
        <w:t xml:space="preserve">YoY growth rate is decelerating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YoY revenue growth: FY25 +28%; FY26 ran hot (9M FY26 +40%, Q3 FY26 EBITDA +122%), FY26 full year +48%; Q1 FY27 +30% -- a clear step down in the growth rate. E-commerce still +67% YoY in Q1 FY27 but off a now-larger ~40% revenue share.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At ~74x trailing P/E the multiple needs 40%+ sustained EPS CAGR against a ~38x exit; Q1 FY27's +30% revenue growth is already below that pace, so the price is set for a re-acceleration or a longer runway than the latest print supports -- the de-rating risk if growth settles near 30%.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Management quality (TVGP's "P"):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Assessment</w:t>
            </w:r>
          </w:p>
        </w:tc>
        <w:tc>
          <w:tcPr>
            <w:tcW w:type="dxa" w:w="5800"/>
          </w:tcPr>
          <w:p>
            <w:r>
              <w:t xml:space="preserve">concern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Capital allocation</w:t>
            </w:r>
          </w:p>
        </w:tc>
        <w:tc>
          <w:tcPr>
            <w:tcW w:type="dxa" w:w="5800"/>
          </w:tcPr>
          <w:p>
            <w:r>
              <w:t xml:space="preserve">Asset-light, low debt (borrowings Rs 71 Cr from Rs 86 Cr), FY26 FCF Rs 89 Cr ~ PAT, working capital cut to 49 days from 63 -- operationally disciplined. But no equity dividend despite consistent profitability and strong FCF, and the promoter (Timex Group Luxury Watches BV / Baupost) sold ~24pp of its stake via two OFS in 2025 (at Rs 175 and Rs 275) taking holding from ~75% to 51%.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Related-party trend</w:t>
            </w:r>
          </w:p>
        </w:tc>
        <w:tc>
          <w:tcPr>
            <w:tcW w:type="dxa" w:w="5800"/>
          </w:tcPr>
          <w:p>
            <w:r>
              <w:t xml:space="preserve">unclear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Guidance credibility</w:t>
            </w:r>
          </w:p>
        </w:tc>
        <w:tc>
          <w:tcPr>
            <w:tcW w:type="dxa" w:w="5800"/>
          </w:tcPr>
          <w:p>
            <w:r>
              <w:t xml:space="preserve">mixed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Shareholder returns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Capability ladder / VAP</w:t>
            </w:r>
          </w:p>
        </w:tc>
        <w:tc>
          <w:tcPr>
            <w:tcW w:type="dxa" w:w="5800"/>
          </w:tcPr>
          <w:p>
            <w:r>
              <w:t xml:space="preserve">—</w:t>
            </w:r>
          </w:p>
        </w:tc>
      </w:tr>
    </w:tbl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entire 32-post thread (all of it fits in one batch). Thread is thin (32 posts since Dec 2022) but every recent post confirms strong, ongoing execution; most recent post is from 3 days before this scan (Aug 20,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Satishwe (trusted, elevated-tier) posted detailed AGM/results notes twice (Aug 2025 and Aug 2026), most recently the 38th AGM highlights: 48% FY26 growth split half value/half volume, e-commerce now 40% of revenue (up from 5% four years ago, growing 90% YoY), trade channel 33% (+32%), OEM 15% (+43%). GurpreetSingh (Feb 2026) confirmed Q3 FY26 revenue +26% YoY, EBITDA +122% YoY, 9M revenue +40%, with Timex-branded products the fastest-growing at +52%. saranshbagdi (Jan 2026) flagged the promoter selling ~9% of holding (down to ~51%) since the 2020 Baupost Group acquisition of the global parent -- a monetization event to watch but not disqualifying given majority control is retained.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2026-09-02 — Vivek_6954</w:t>
      </w:r>
      <w:r>
        <w:rPr>
          <w:i/>
          <w:iCs/>
          <w:color w:val="666666"/>
          <w:sz w:val="18"/>
          <w:szCs w:val="18"/>
        </w:rPr>
        <w:t xml:space="preserve"> (Vivek Gautam Portfolio)</w:t>
      </w:r>
      <w:r>
        <w:rPr>
          <w:sz w:val="20"/>
          <w:szCs w:val="20"/>
        </w:rPr>
        <w:br/>
        <w:t xml:space="preserve">: "Timex Sh Piston GHFL Nuvama Nippo n Icici amc Uno Minda Acutaas Privi and more stocks have been holding for long time now n pyramiding as well on some triggers like good results" (post #1245)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High-quality earnings: FY26 FCF Rs 89 Cr roughly equals PAT, CFO/operating-profit 104%, working capital cut to 49 days from 63 -- growth is genuinely cash-backed, not accrual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structural driver: e-commerce scaled from ~5% to ~40% of revenue in four years and still grew 67% YoY in Q1 FY27; quick-commerce dark-store expansion adds a further leg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Operating leverage on an asset-light licensee model: EBITDA margin rose to 16.3% in Q1 FY27 from ~13%, PBT +70% on revenue +30%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Low, reducing debt (borrowings Rs 71 Cr from Rs 86 Cr); trade channel still growing 51% on higher per-door productivity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parent has now publicly ruled out further stake sales and reaffirmed its 51% controlling position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sell-down is large, not minor: Timex Group Luxury Watches BV (Baupost) cut its stake from ~74.93% to 51.00% via two OFS in 2025 at Rs 175 and Rs 275 floors -- roughly a third of the promoter holding, sold well below the current Rs 654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Growth is decelerating: Q1 FY27 revenue +30% YoY versus FY26's +48% -- at a ~74x multiple, any sustained slowdown re-rates the stock hard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valuation: ~74x trailing P/E, ~87x book, ~45-50x EV/EBITDA after a 106% one-year run -- the price already assumes years of 40%+ compounding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equity dividend despite consistent profitability and strong FCF -- capital-return signal is weak while the promoter is a financial sponsor monetising its position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ROE/ROCE figures largely reflect a tiny equity base, not a defensible moat; the watch category is competitive (Titan dominates, smartwatch players crowd the low end)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Thin forum coverage (~32 posts) means limited independent scrutiny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6,600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no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earnings_quality confirms structural e-commerce mix-shift driver (tailwind=yes); value_chain explicit 'niche brand...rather than a structural moat'; market_expectation gap_direction=priced-in.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Genuinely high-quality, cash-backed growth on a real e-commerce channel shift -- but a large promoter sell-down, decelerating growth and a ~74x multiple cap the forward return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Earnings quality is a genuine positive: FCF roughly equals PAT, cash conversion is 104%, and the e-commerce mix shift (5% -&gt; 40% of revenue) is a real structural driver still growing 67% YoY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But the deep read materially enlarges the promoter concern: the Baupost-controlled parent reduced its holding from ~75% to 51% through two 2025 OFS at Rs 175 and Rs 275 -- far below today's Rs 654 -- which, together with Q1 FY27 growth decelerating to +30% from FY26's +48%, is a poor setup at a ~74x P/E / ~87x P/B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and control is retained at 51% with a stated end to sales, so this is not a HIGH CAUTION case -- but thesis-fit moves to 'neither' (a 10x from ~Rs 6,600 Cr at this multiple is not a realistic base case) and conviction eases from Medium-High to Medium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2026-09-24T13:57:42.263Z</dcterms:created>
  <dcterms:modified xsi:type="dcterms:W3CDTF">2026-09-24T13:57:42.268Z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