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Uno Minda Ltd</w:t>
      </w:r>
    </w:p>
    <w:p>
      <w:pPr>
        <w:pBdr>
          <w:bottom w:val="single" w:color="CCCCCC" w:sz="6" w:space="8"/>
        </w:pBdr>
        <w:spacing w:after="200"/>
      </w:pPr>
      <w:r>
        <w:rPr>
          <w:i/>
          <w:iCs/>
          <w:color w:val="666666"/>
          <w:sz w:val="22"/>
          <w:szCs w:val="22"/>
        </w:rPr>
        <w:t xml:space="preserve">Now a Rs 72,585 Cr auto-ancillary large-cap — the trusted-thread conviction dates back to when it was a much smaller, cheaper story</w:t>
      </w:r>
    </w:p>
    <w:p>
      <w:pPr>
        <w:pStyle w:val="Heading1"/>
        <w:spacing w:after="120" w:before="280"/>
      </w:pPr>
      <w:r>
        <w:t xml:space="preserve">Business Overview</w:t>
      </w:r>
    </w:p>
    <w:p>
      <w:pPr>
        <w:spacing w:after="120"/>
      </w:pPr>
      <w:r>
        <w:t xml:space="preserve">Uno Minda (formerly Minda Industries) is one of India's largest and most diversified auto-ancillary component manufacturers, spanning switches, lighting, seating (via the Harita acquisition), alloy wheels, and a wide range of two-wheeler/four-wheeler components, long regarded on ValuePickr as a best-in-class execution story led by an ethical, workaholic promoter family.</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73,390 Cr</w:t>
            </w:r>
          </w:p>
        </w:tc>
      </w:tr>
      <w:tr>
        <w:tc>
          <w:tcPr>
            <w:tcW w:type="dxa" w:w="3200"/>
            <w:shd w:fill="F2F2F2" w:val="clear"/>
          </w:tcPr>
          <w:p>
            <w:r>
              <w:rPr>
                <w:b/>
                <w:bCs/>
              </w:rPr>
              <w:t xml:space="preserve">ROCE</w:t>
            </w:r>
          </w:p>
        </w:tc>
        <w:tc>
          <w:tcPr>
            <w:tcW w:type="dxa" w:w="5800"/>
          </w:tcPr>
          <w:p>
            <w:r>
              <w:t xml:space="preserve">11.05%</w:t>
            </w:r>
          </w:p>
        </w:tc>
      </w:tr>
      <w:tr>
        <w:tc>
          <w:tcPr>
            <w:tcW w:type="dxa" w:w="3200"/>
            <w:shd w:fill="F2F2F2" w:val="clear"/>
          </w:tcPr>
          <w:p>
            <w:r>
              <w:rPr>
                <w:b/>
                <w:bCs/>
              </w:rPr>
              <w:t xml:space="preserve">ROE</w:t>
            </w:r>
          </w:p>
        </w:tc>
        <w:tc>
          <w:tcPr>
            <w:tcW w:type="dxa" w:w="5800"/>
          </w:tcPr>
          <w:p>
            <w:r>
              <w:t xml:space="preserve">18.88%</w:t>
            </w:r>
          </w:p>
        </w:tc>
      </w:tr>
      <w:tr>
        <w:tc>
          <w:tcPr>
            <w:tcW w:type="dxa" w:w="3200"/>
            <w:shd w:fill="F2F2F2" w:val="clear"/>
          </w:tcPr>
          <w:p>
            <w:r>
              <w:rPr>
                <w:b/>
                <w:bCs/>
              </w:rPr>
              <w:t xml:space="preserve">Revenue CAGR</w:t>
            </w:r>
          </w:p>
        </w:tc>
        <w:tc>
          <w:tcPr>
            <w:tcW w:type="dxa" w:w="5800"/>
          </w:tcPr>
          <w:p>
            <w:r>
              <w:t xml:space="preserve">21.94% (in line with industry)</w:t>
            </w:r>
          </w:p>
        </w:tc>
      </w:tr>
      <w:tr>
        <w:tc>
          <w:tcPr>
            <w:tcW w:type="dxa" w:w="3200"/>
            <w:shd w:fill="F2F2F2" w:val="clear"/>
          </w:tcPr>
          <w:p>
            <w:r>
              <w:rPr>
                <w:b/>
                <w:bCs/>
              </w:rPr>
              <w:t xml:space="preserve">Valuation</w:t>
            </w:r>
          </w:p>
        </w:tc>
        <w:tc>
          <w:tcPr>
            <w:tcW w:type="dxa" w:w="5800"/>
          </w:tcPr>
          <w:p>
            <w:r>
              <w:t xml:space="preserve">10.7x book value (rich)</w:t>
            </w:r>
          </w:p>
        </w:tc>
      </w:tr>
    </w:tbl>
    <w:p>
      <w:pPr>
        <w:spacing w:after="100"/>
      </w:pPr>
    </w:p>
    <w:p>
      <w:pPr>
        <w:spacing w:after="120"/>
      </w:pPr>
      <w:r>
        <w:t xml:space="preserve">Revenue growth (~22%) is solid and roughly matches the broader auto-ancillary industry median rather than outpacing it, and the company is now large enough (Rs 72,585 Cr market cap) that it has graduated well beyond small/mid-cap multibagger territory. Net debt is manageable and trending down. This is a mature, well-run large-cap compounder rather than an emerging story. Re-verified 2026-08-22: now a large mid-cap trading at a rich valuation multiple with ROCE noticeably lower than the batch's other names.</w:t>
      </w:r>
    </w:p>
    <w:p>
      <w:pPr>
        <w:pStyle w:val="Heading1"/>
        <w:spacing w:after="120" w:before="280"/>
      </w:pPr>
      <w:r>
        <w:t xml:space="preserve">Technical Read (Weekly / Monthly MACD + Bollinger Bands, or RSI/CCI/Williams %R proxy)</w:t>
      </w:r>
    </w:p>
    <w:p>
      <w:pPr>
        <w:spacing w:after="120"/>
      </w:pPr>
      <w:r>
        <w:t xml:space="preserve">Not pulled this pass — no browser escalation triggered.</w:t>
      </w:r>
    </w:p>
    <w:p>
      <w:pPr>
        <w:pStyle w:val="Heading1"/>
        <w:spacing w:after="120" w:before="280"/>
      </w:pPr>
      <w:r>
        <w:t xml:space="preserve">ValuePickr Community Signal</w:t>
      </w:r>
    </w:p>
    <w:p>
      <w:pPr>
        <w:spacing w:after="120"/>
      </w:pPr>
      <w:r>
        <w:t xml:space="preserve">Read all 133 posts in the thread (a generally quiet, low-engagement thread with modest love counts throughout, spanning several years of history). The most substantive trusted content is from the 2019-2020 Harita-seating-merger period, when the company was a much smaller, cheaper story than it is today.</w:t>
      </w:r>
    </w:p>
    <w:p>
      <w:pPr>
        <w:spacing w:after="120"/>
      </w:pPr>
      <w:r>
        <w:rPr>
          <w:b/>
          <w:bCs/>
          <w:sz w:val="20"/>
          <w:szCs w:val="20"/>
        </w:rPr>
        <w:t xml:space="preserve">High-conviction call from a top contributor: </w:t>
      </w:r>
      <w:r>
        <w:rPr>
          <w:sz w:val="20"/>
          <w:szCs w:val="20"/>
        </w:rPr>
        <w:t xml:space="preserve">Vivek_6954 (trusted) posted an explicit high-conviction statement at post #84 (dated ~Dec 2019 era): "Treat Harita as Minda ind only which is one of the best auto ancillary play in India. Workaholic ethical promoters who have created huge wealth due to their focus on execution n profitable growth," disclosing he was invested. This is a genuine, specific conviction call — but from an era when the stock was a fraction of today's Rs 72,585 Cr size. His more recent portfolio-thread mention (source of this queueing) simply notes he is 'holding on to' the position peacefully, consistent with a mature, already-successful holding rather than a fresh high-conviction entry point. Vijay_Kiran (trusted) independently corroborated holding it as a 'pleasant surprise' in his satellite portfolio.</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2026-09-02 — Vivek_6954</w:t>
      </w:r>
      <w:r>
        <w:rPr>
          <w:i/>
          <w:iCs/>
          <w:color w:val="666666"/>
          <w:sz w:val="18"/>
          <w:szCs w:val="18"/>
        </w:rPr>
        <w:t xml:space="preserve"> (Vivek Gautam Portfolio)</w:t>
      </w:r>
      <w:r>
        <w:rPr>
          <w:sz w:val="20"/>
          <w:szCs w:val="20"/>
        </w:rPr>
        <w:br/>
        <w:t xml:space="preserve">: "Timex Sh Piston GHFL Nuvama Nippo n Icici amc Uno Minda Acutaas Privi and more stocks have been holding for long time now n pyramiding as well on some triggers like good results" (post #1245)</w:t>
      </w:r>
    </w:p>
    <w:p>
      <w:pPr>
        <w:spacing w:after="100"/>
      </w:pPr>
      <w:r>
        <w:rPr>
          <w:b/>
          <w:bCs/>
          <w:sz w:val="20"/>
          <w:szCs w:val="20"/>
        </w:rPr>
        <w:t xml:space="preserve">~2019-2020 (in-thread) / current (portfolio backfill) — Vivek_6954</w:t>
      </w:r>
      <w:r>
        <w:rPr>
          <w:i/>
          <w:iCs/>
          <w:color w:val="666666"/>
          <w:sz w:val="18"/>
          <w:szCs w:val="18"/>
        </w:rPr>
        <w:t xml:space="preserve"> (Uno Minda company thread (post #84) + Vivek Gautam Portfolio (post #1223))</w:t>
      </w:r>
      <w:r>
        <w:rPr>
          <w:sz w:val="20"/>
          <w:szCs w:val="20"/>
        </w:rPr>
        <w:br/>
        <w:t xml:space="preserve">: Explicit "one of the best auto ancillary play in India" conviction call from the Harita-merger era, when the company was much smaller; current portfolio mention is a mature 'holding peacefully' note, not a fresh entry thesis. Corroborated independently by Vijay_Kiran (trusted, satellite portfolio).</w:t>
      </w:r>
    </w:p>
    <w:p>
      <w:pPr>
        <w:pStyle w:val="Heading1"/>
        <w:spacing w:after="120" w:before="280"/>
      </w:pPr>
      <w:r>
        <w:t xml:space="preserve">BSE Corporate Actions / Other Red Flags</w:t>
      </w:r>
    </w:p>
    <w:p>
      <w:pPr>
        <w:spacing w:after="120"/>
      </w:pPr>
      <w:r>
        <w:t xml:space="preserve">No SEBI/regulatory action found.</w:t>
      </w:r>
    </w:p>
    <w:p>
      <w:pPr>
        <w:pStyle w:val="Heading1"/>
        <w:spacing w:after="120" w:before="280"/>
      </w:pPr>
      <w:r>
        <w:t xml:space="preserve">Bull Case</w:t>
      </w:r>
    </w:p>
    <w:p>
      <w:pPr>
        <w:pStyle w:val="ListParagraph"/>
        <w:numPr>
          <w:ilvl w:val="0"/>
          <w:numId w:val="1"/>
        </w:numPr>
        <w:spacing w:after="60"/>
      </w:pPr>
      <w:r>
        <w:t xml:space="preserve">Long track record of ethical, execution-focused promoter management, repeatedly praised by trusted community members over several years</w:t>
      </w:r>
    </w:p>
    <w:p>
      <w:pPr>
        <w:pStyle w:val="ListParagraph"/>
        <w:numPr>
          <w:ilvl w:val="0"/>
          <w:numId w:val="1"/>
        </w:numPr>
        <w:spacing w:after="60"/>
      </w:pPr>
      <w:r>
        <w:t xml:space="preserve">Genuinely diversified, best-in-class auto-ancillary platform with steady ~22% revenue growth and improving net-debt trajectory</w:t>
      </w:r>
    </w:p>
    <w:p>
      <w:pPr>
        <w:pStyle w:val="ListParagraph"/>
        <w:numPr>
          <w:ilvl w:val="0"/>
          <w:numId w:val="1"/>
        </w:numPr>
        <w:spacing w:after="60"/>
      </w:pPr>
      <w:r>
        <w:t xml:space="preserve">Two independent trusted holders (Vivek_6954 and Vijay_Kiran) corroborate this as a legitimately good long-term business</w:t>
      </w:r>
    </w:p>
    <w:p>
      <w:pPr>
        <w:pStyle w:val="Heading1"/>
        <w:spacing w:after="120" w:before="280"/>
      </w:pPr>
      <w:r>
        <w:t xml:space="preserve">Bear Case / Key Risks</w:t>
      </w:r>
    </w:p>
    <w:p>
      <w:pPr>
        <w:pStyle w:val="ListParagraph"/>
        <w:numPr>
          <w:ilvl w:val="0"/>
          <w:numId w:val="1"/>
        </w:numPr>
        <w:spacing w:after="60"/>
      </w:pPr>
      <w:r>
        <w:t xml:space="preserve">Market cap has grown to Rs 72,585 Cr — this is now a large-cap, and the trusted conviction calls that queued this stock date from when it was a fraction of that size and a genuinely different risk/reward proposition</w:t>
      </w:r>
    </w:p>
    <w:p>
      <w:pPr>
        <w:pStyle w:val="ListParagraph"/>
        <w:numPr>
          <w:ilvl w:val="0"/>
          <w:numId w:val="1"/>
        </w:numPr>
        <w:spacing w:after="60"/>
      </w:pPr>
      <w:r>
        <w:t xml:space="preserve">Revenue growth (~22%) merely matches the industry median rather than outpacing it — no longer a clear outperformer versus peers</w:t>
      </w:r>
    </w:p>
    <w:p>
      <w:pPr>
        <w:pStyle w:val="ListParagraph"/>
        <w:numPr>
          <w:ilvl w:val="0"/>
          <w:numId w:val="1"/>
        </w:numPr>
        <w:spacing w:after="60"/>
      </w:pPr>
      <w:r>
        <w:t xml:space="preserve">No fresh, recent-quarter catalyst or re-acceleration signal was found in the thread to justify a fresh multibagger thesis at current size and valuation</w:t>
      </w:r>
    </w:p>
    <w:p>
      <w:pPr>
        <w:pStyle w:val="Heading1"/>
        <w:spacing w:after="120" w:before="280"/>
      </w:pPr>
      <w:r>
        <w:t xml:space="preserve">Market-Cap Tier (informational — not a gate in this project)</w:t>
      </w:r>
    </w:p>
    <w:p>
      <w:pPr>
        <w:spacing w:after="120"/>
      </w:pPr>
      <w:r>
        <w:rPr>
          <w:b/>
          <w:bCs/>
        </w:rPr>
        <w:t xml:space="preserve">large-cap</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no · moat: weak · valuation: no  (score 1 / 4)</w:t>
      </w:r>
    </w:p>
    <w:p>
      <w:pPr>
        <w:spacing w:after="120"/>
      </w:pPr>
      <w:r>
        <w:rPr>
          <w:i/>
          <w:iCs/>
          <w:color w:val="666666"/>
          <w:sz w:val="20"/>
          <w:szCs w:val="20"/>
        </w:rPr>
        <w:t xml:space="preserve">Verdict explicit: ~22% growth is 'in line with, not ahead of, the industry' (tailwind weak); Rs72,585cr large-cap rules out tam; 'rich book-value multiple' (valuation=no); ROCE only 11%.</w:t>
      </w:r>
    </w:p>
    <w:p>
      <w:pPr>
        <w:pStyle w:val="Heading1"/>
        <w:spacing w:after="120" w:before="280"/>
      </w:pPr>
      <w:r>
        <w:t xml:space="preserve">Verdict</w:t>
      </w:r>
    </w:p>
    <w:p>
      <w:pPr>
        <w:spacing w:after="120"/>
      </w:pPr>
      <w:r>
        <w:rPr>
          <w:b/>
          <w:bCs/>
          <w:sz w:val="24"/>
          <w:szCs w:val="24"/>
        </w:rPr>
        <w:t xml:space="preserve">A genuinely good, trusted-endorsed business — but it has already grown into a large-cap, and the multibagger math no longer works regardless of quality</w:t>
      </w:r>
    </w:p>
    <w:p>
      <w:pPr>
        <w:pStyle w:val="ListParagraph"/>
        <w:numPr>
          <w:ilvl w:val="0"/>
          <w:numId w:val="1"/>
        </w:numPr>
        <w:spacing w:after="60"/>
      </w:pPr>
      <w:r>
        <w:t xml:space="preserve">The trusted conviction that queued this stock (Vivek_6954, corroborated by Vijay_Kiran) is real and specific, but its strongest form (the explicit 'best auto ancillary play' call) dates from the 2019-2020 era when the company was far smaller — the current portfolio mention is a mature 'holding peacefully' note, not a fresh high-conviction entry thesis.</w:t>
      </w:r>
    </w:p>
    <w:p>
      <w:pPr>
        <w:pStyle w:val="ListParagraph"/>
        <w:numPr>
          <w:ilvl w:val="0"/>
          <w:numId w:val="1"/>
        </w:numPr>
        <w:spacing w:after="60"/>
      </w:pPr>
      <w:r>
        <w:t xml:space="preserve">At Rs 72,585 Cr market cap with ~22% revenue growth in line with (not ahead of) the industry, this is squarely a large-cap compounder, not a candidate for 10x-in-2-3-years or realistically even 100x-in-10-years.</w:t>
      </w:r>
    </w:p>
    <w:p>
      <w:pPr>
        <w:pStyle w:val="ListParagraph"/>
        <w:numPr>
          <w:ilvl w:val="0"/>
          <w:numId w:val="1"/>
        </w:numPr>
        <w:spacing w:after="60"/>
      </w:pPr>
      <w:r>
        <w:t xml:space="preserve">No red flag was found, so per the conviction floor for very-high trusted candidates, conviction is still set to Medium-High — but per the project's own sizing rule, a strong trusted endorsement on a stock that has simply grown too large doesn't earn a 30-day revisit flag; the size math doesn't change regardless of quality.</w:t>
      </w:r>
    </w:p>
    <w:p>
      <w:pPr>
        <w:pStyle w:val="ListParagraph"/>
        <w:numPr>
          <w:ilvl w:val="0"/>
          <w:numId w:val="1"/>
        </w:numPr>
        <w:spacing w:after="60"/>
      </w:pPr>
      <w:r>
        <w:t xml:space="preserve">This is a well-run business worth tracking as a standard long-term holding, just outside this project's specific extreme-return mandate.</w:t>
      </w:r>
    </w:p>
    <w:p>
      <w:pPr>
        <w:pStyle w:val="ListParagraph"/>
        <w:numPr>
          <w:ilvl w:val="0"/>
          <w:numId w:val="1"/>
        </w:numPr>
        <w:spacing w:after="60"/>
      </w:pPr>
      <w:r>
        <w:t xml:space="preserve">Re-verification pass (2026-08-22): source (Vijay_Kiran) is elevated-tier, not top-tier — no automatic floor. Conviction corrected down from Medium-High to Low-Medium: the only substantive trusted content dates to the 2019-2020 Harita-merger era when this was a much smaller, cheaper story; the thread itself is now quiet/low-engagement, and today's ROCE (11%) and rich book-value multiple are weaker signals than the historical quote implies.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2026-09-24T13:57:42.573Z</dcterms:created>
  <dcterms:modified xsi:type="dcterms:W3CDTF">2026-09-24T13:57:42.574Z</dcterms:modified>
</cp:coreProperties>
</file>

<file path=docProps/custom.xml><?xml version="1.0" encoding="utf-8"?>
<Properties xmlns="http://schemas.openxmlformats.org/officeDocument/2006/custom-properties" xmlns:vt="http://schemas.openxmlformats.org/officeDocument/2006/docPropsVTypes"/>
</file>