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Zinka Logistics Solutions Ltd (BlackBuck)</w:t>
      </w:r>
    </w:p>
    <w:p>
      <w:pPr>
        <w:pBdr>
          <w:bottom w:val="single" w:color="CCCCCC" w:sz="6" w:space="8"/>
        </w:pBdr>
        <w:spacing w:after="200"/>
      </w:pPr>
      <w:r>
        <w:rPr>
          <w:i/>
          <w:iCs/>
          <w:color w:val="666666"/>
          <w:sz w:val="22"/>
          <w:szCs w:val="22"/>
        </w:rPr>
        <w:t xml:space="preserve">A trucking-platform business that just delivered its first full profitable year (FY26) with SuperLoads scaling faster than guided, but EBITDA margin is actually compressing on new-business mix dilution, promoter holding keeps falling, and valuation (~65-67x P/E) still prices in a lot of the optionality</w:t>
      </w:r>
    </w:p>
    <w:p>
      <w:pPr>
        <w:pStyle w:val="Heading1"/>
        <w:spacing w:after="120" w:before="280"/>
      </w:pPr>
      <w:r>
        <w:t xml:space="preserve">Business Overview</w:t>
      </w:r>
    </w:p>
    <w:p>
      <w:pPr>
        <w:spacing w:after="120"/>
      </w:pPr>
      <w:r>
        <w:t xml:space="preserve">Zinka Logistics (BlackBuck) operates India's largest digital trucking platform, spanning FASTag-based tolling/payments, telematics/tracking, fuel-card services, vehicle financing (via subsidiary BFPL), and a rapidly-scaling digital freight-brokerage vertical (SuperLoads, competing loosely with Delhivery's Orion). The core tolling/telematics business benefits from FASTag's near-universal penetration (98%, 8 crore users). Renamed from Zinka Logistics Solutions Ltd to BlackBuck Ltd in August 2025.</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11,275 Cr (16-Sep-2026)</w:t>
            </w:r>
          </w:p>
        </w:tc>
      </w:tr>
      <w:tr>
        <w:tc>
          <w:tcPr>
            <w:tcW w:type="dxa" w:w="3200"/>
            <w:shd w:fill="F2F2F2" w:val="clear"/>
          </w:tcPr>
          <w:p>
            <w:r>
              <w:rPr>
                <w:b/>
                <w:bCs/>
              </w:rPr>
              <w:t xml:space="preserve">ROE / ROCE (FY26)</w:t>
            </w:r>
          </w:p>
        </w:tc>
        <w:tc>
          <w:tcPr>
            <w:tcW w:type="dxa" w:w="5800"/>
          </w:tcPr>
          <w:p>
            <w:r>
              <w:t xml:space="preserve">ROE ~12% (13% 3-yr avg); ROCE ~13%</w:t>
            </w:r>
          </w:p>
        </w:tc>
      </w:tr>
      <w:tr>
        <w:tc>
          <w:tcPr>
            <w:tcW w:type="dxa" w:w="3200"/>
            <w:shd w:fill="F2F2F2" w:val="clear"/>
          </w:tcPr>
          <w:p>
            <w:r>
              <w:rPr>
                <w:b/>
                <w:bCs/>
              </w:rPr>
              <w:t xml:space="preserve">Debt</w:t>
            </w:r>
          </w:p>
        </w:tc>
        <w:tc>
          <w:tcPr>
            <w:tcW w:type="dxa" w:w="5800"/>
          </w:tcPr>
          <w:p>
            <w:r>
              <w:t xml:space="preserve">Borrowings down to Rs 59 Cr (FY26) from Rs 184 Cr (FY24); cash/investments ~Rs 107 Cr -- almost debt-free, net cash</w:t>
            </w:r>
          </w:p>
        </w:tc>
      </w:tr>
      <w:tr>
        <w:tc>
          <w:tcPr>
            <w:tcW w:type="dxa" w:w="3200"/>
            <w:shd w:fill="F2F2F2" w:val="clear"/>
          </w:tcPr>
          <w:p>
            <w:r>
              <w:rPr>
                <w:b/>
                <w:bCs/>
              </w:rPr>
              <w:t xml:space="preserve">Revenue / PAT trend</w:t>
            </w:r>
          </w:p>
        </w:tc>
        <w:tc>
          <w:tcPr>
            <w:tcW w:type="dxa" w:w="5800"/>
          </w:tcPr>
          <w:p>
            <w:r>
              <w:t xml:space="preserve">FY22 Rs119Cr/-Rs285Cr, FY23 Rs176Cr/-Rs290Cr, FY24 Rs297Cr/-Rs194Cr, FY25 Rs427Cr/-Rs9Cr, FY26 Rs652Cr/+Rs160Cr -- FY26 is the first full profitable year</w:t>
            </w:r>
          </w:p>
        </w:tc>
      </w:tr>
      <w:tr>
        <w:tc>
          <w:tcPr>
            <w:tcW w:type="dxa" w:w="3200"/>
            <w:shd w:fill="F2F2F2" w:val="clear"/>
          </w:tcPr>
          <w:p>
            <w:r>
              <w:rPr>
                <w:b/>
                <w:bCs/>
              </w:rPr>
              <w:t xml:space="preserve">Q1 FY27</w:t>
            </w:r>
          </w:p>
        </w:tc>
        <w:tc>
          <w:tcPr>
            <w:tcW w:type="dxa" w:w="5800"/>
          </w:tcPr>
          <w:p>
            <w:r>
              <w:t xml:space="preserve">Revenue Rs 220.5 Cr (+38% YoY); EBITDA Rs 49.7 Cr (+23% YoY, margin ~24.9% vs ~29% YoY -- compressing); PAT Rs 42.2 Cr (+25% YoY); transacting customers 883,386 (+13% YoY)</w:t>
            </w:r>
          </w:p>
        </w:tc>
      </w:tr>
      <w:tr>
        <w:tc>
          <w:tcPr>
            <w:tcW w:type="dxa" w:w="3200"/>
            <w:shd w:fill="F2F2F2" w:val="clear"/>
          </w:tcPr>
          <w:p>
            <w:r>
              <w:rPr>
                <w:b/>
                <w:bCs/>
              </w:rPr>
              <w:t xml:space="preserve">52-week range</w:t>
            </w:r>
          </w:p>
        </w:tc>
        <w:tc>
          <w:tcPr>
            <w:tcW w:type="dxa" w:w="5800"/>
          </w:tcPr>
          <w:p>
            <w:r>
              <w:t xml:space="preserve">Rs 496 - Rs 748; CMP ~Rs 618-625 (Sept 2026)</w:t>
            </w:r>
          </w:p>
        </w:tc>
      </w:tr>
      <w:tr>
        <w:tc>
          <w:tcPr>
            <w:tcW w:type="dxa" w:w="3200"/>
            <w:shd w:fill="F2F2F2" w:val="clear"/>
          </w:tcPr>
          <w:p>
            <w:r>
              <w:rPr>
                <w:b/>
                <w:bCs/>
              </w:rPr>
              <w:t xml:space="preserve">Valuation</w:t>
            </w:r>
          </w:p>
        </w:tc>
        <w:tc>
          <w:tcPr>
            <w:tcW w:type="dxa" w:w="5800"/>
          </w:tcPr>
          <w:p>
            <w:r>
              <w:t xml:space="preserve">P/E ~65-67x trailing; P/B ~7.8x</w:t>
            </w:r>
          </w:p>
        </w:tc>
      </w:tr>
    </w:tbl>
    <w:p>
      <w:pPr>
        <w:spacing w:after="100"/>
      </w:pPr>
    </w:p>
    <w:p>
      <w:pPr>
        <w:spacing w:after="120"/>
      </w:pPr>
      <w:r>
        <w:t xml:space="preserve">Core tolling/telematics business is genuinely compounding at a strong, sustainable rate, with tolling GTV growth of ~24% outpacing the broader industry's ~15%, implying real market-share gains. FY26 was BlackBuck's first full year of profitability (PAT Rs160Cr, adjusted EBITDA +84% YoY to Rs190Cr on revenue +53% to Rs652Cr), a genuine inflection after four straight years of losses (FY22-FY25). SuperLoads (digital freight brokerage) is the standout optionality: expanded from 4 to 14 cities by Mar-Apr 2026, with sequential growth accelerating to ~50% QoQ (from ~23-24% previously) and the company now roughly halfway to its 5,000-monthly-load / 250-daily-load target. The nuance the market narrative undersells: reported EBITDA margin has actually compressed YoY recently (Q1 FY27 ~24.9% vs ~29% a year earlier) as the lower-margin SuperLoads brokerage mix dilutes the higher-margin core tolling business -- growth and absolute profit are both real and accelerating, but margin-expansion guidance has not yet been delivered. Valuation has de-rated somewhat as earnings caught up (P/E ~65-67x now vs ~84x cited previously) but remains rich for a business one year into sustained profitability.</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karanvanzari.substack.com Q1 FY27 concall analysis</w:t>
      </w:r>
    </w:p>
    <w:p>
      <w:pPr>
        <w:pStyle w:val="ListParagraph"/>
        <w:numPr>
          <w:ilvl w:val="0"/>
          <w:numId w:val="1"/>
        </w:numPr>
        <w:spacing w:after="60"/>
      </w:pPr>
      <w:r>
        <w:t xml:space="preserve">screener.in/company/BLACKBUCK consolidated financials + shareholding pattern</w:t>
      </w:r>
    </w:p>
    <w:p>
      <w:pPr>
        <w:pStyle w:val="ListParagraph"/>
        <w:numPr>
          <w:ilvl w:val="0"/>
          <w:numId w:val="1"/>
        </w:numPr>
        <w:spacing w:after="60"/>
      </w:pPr>
      <w:r>
        <w:t xml:space="preserve">bharatfast.com FY26 results summary</w:t>
      </w:r>
    </w:p>
    <w:p>
      <w:pPr>
        <w:pStyle w:val="ListParagraph"/>
        <w:numPr>
          <w:ilvl w:val="0"/>
          <w:numId w:val="1"/>
        </w:numPr>
        <w:spacing w:after="60"/>
      </w:pPr>
      <w:r>
        <w:t xml:space="preserve">WebSearch: Q1 FY27 results, FY25 annual report, SuperLoads expansion, promoter stake sales, GNSS/FASTag tolling policy, current valuation</w:t>
      </w:r>
    </w:p>
    <w:p>
      <w:pPr>
        <w:spacing w:after="120"/>
      </w:pPr>
      <w:r>
        <w:rPr>
          <w:b/>
          <w:bCs/>
          <w:sz w:val="20"/>
          <w:szCs w:val="20"/>
        </w:rPr>
        <w:t xml:space="preserve">Annual-report findings (3-year view):</w:t>
      </w:r>
    </w:p>
    <w:p>
      <w:pPr>
        <w:pStyle w:val="ListParagraph"/>
        <w:numPr>
          <w:ilvl w:val="0"/>
          <w:numId w:val="1"/>
        </w:numPr>
        <w:spacing w:after="60"/>
      </w:pPr>
      <w:r>
        <w:t xml:space="preserve">FY26 was BlackBuck's first full year of profitability: net profit Rs160.34Cr, adjusted EBITDA Rs190.14Cr (+84% YoY), operating revenue Rs652Cr (+53% YoY), after four straight loss-making years (FY22 -Rs285Cr, FY23 -Rs290Cr, FY24 -Rs194Cr, FY25 -Rs9Cr near-breakeven)</w:t>
      </w:r>
    </w:p>
    <w:p>
      <w:pPr>
        <w:pStyle w:val="ListParagraph"/>
        <w:numPr>
          <w:ilvl w:val="0"/>
          <w:numId w:val="1"/>
        </w:numPr>
        <w:spacing w:after="60"/>
      </w:pPr>
      <w:r>
        <w:t xml:space="preserve">Borrowings reduced to Rs59Cr (FY26) from Rs184Cr (FY24); cash/investments ~Rs107Cr -- net cash position, almost debt-free</w:t>
      </w:r>
    </w:p>
    <w:p>
      <w:pPr>
        <w:pStyle w:val="ListParagraph"/>
        <w:numPr>
          <w:ilvl w:val="0"/>
          <w:numId w:val="1"/>
        </w:numPr>
        <w:spacing w:after="60"/>
      </w:pPr>
      <w:r>
        <w:t xml:space="preserve">ROCE FY26 ~13%, ROE FY26 ~12% (13% 3-yr avg) -- improving but has not yet cleared a 15% ROCE bar</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FY27: revenue Rs220.5Cr (+38% YoY), EBITDA Rs49.7Cr (+23% YoY, margin ~24.9% vs ~29% YoY -- compression), PAT Rs42.2Cr (+25% YoY), transacting customers 883,386 (+13% YoY)</w:t>
      </w:r>
    </w:p>
    <w:p>
      <w:pPr>
        <w:pStyle w:val="ListParagraph"/>
        <w:numPr>
          <w:ilvl w:val="0"/>
          <w:numId w:val="1"/>
        </w:numPr>
        <w:spacing w:after="60"/>
      </w:pPr>
      <w:r>
        <w:t xml:space="preserve">Q4 FY26: revenue Rs185.43Cr (+52% YoY), PAT Rs65.73Cr</w:t>
      </w:r>
    </w:p>
    <w:p>
      <w:pPr>
        <w:pStyle w:val="ListParagraph"/>
        <w:numPr>
          <w:ilvl w:val="0"/>
          <w:numId w:val="1"/>
        </w:numPr>
        <w:spacing w:after="60"/>
      </w:pPr>
      <w:r>
        <w:t xml:space="preserve">Full-year YoY revenue growth: FY24 +69%, FY25 +44%, FY26 +53% -- quarterly rate cooled most recently from ~52% (Q4 FY26) to ~38% (Q1 FY27)</w:t>
      </w:r>
    </w:p>
    <w:p>
      <w:pPr>
        <w:spacing w:after="120"/>
      </w:pPr>
      <w:r>
        <w:rPr>
          <w:b/>
          <w:bCs/>
          <w:sz w:val="20"/>
          <w:szCs w:val="20"/>
        </w:rPr>
        <w:t xml:space="preserve">Exchange announcements (last 6 months):</w:t>
      </w:r>
    </w:p>
    <w:p>
      <w:pPr>
        <w:pStyle w:val="ListParagraph"/>
        <w:numPr>
          <w:ilvl w:val="0"/>
          <w:numId w:val="1"/>
        </w:numPr>
        <w:spacing w:after="60"/>
      </w:pPr>
      <w:r>
        <w:t xml:space="preserve">18-Nov-2025: founder-trio block deal, ~36 lakh shares sold within a ~43 lakh-share (~2%) block at Rs676/share</w:t>
      </w:r>
    </w:p>
    <w:p>
      <w:pPr>
        <w:pStyle w:val="ListParagraph"/>
        <w:numPr>
          <w:ilvl w:val="0"/>
          <w:numId w:val="1"/>
        </w:numPr>
        <w:spacing w:after="60"/>
      </w:pPr>
      <w:r>
        <w:t xml:space="preserve">Jun-2025: early investors Flipkart/Quick Routes (full 9.01% stake, Rs672Cr), Accel, and Peak XV exited/pared positions</w:t>
      </w:r>
    </w:p>
    <w:p>
      <w:pPr>
        <w:pStyle w:val="ListParagraph"/>
        <w:numPr>
          <w:ilvl w:val="0"/>
          <w:numId w:val="1"/>
        </w:numPr>
        <w:spacing w:after="60"/>
      </w:pPr>
      <w:r>
        <w:t xml:space="preserve">Aug-2025: company renamed from Zinka Logistics Solutions Ltd to BlackBuck Ltd</w:t>
      </w:r>
    </w:p>
    <w:p>
      <w:pPr>
        <w:pStyle w:val="ListParagraph"/>
        <w:numPr>
          <w:ilvl w:val="0"/>
          <w:numId w:val="1"/>
        </w:numPr>
        <w:spacing w:after="60"/>
      </w:pPr>
      <w:r>
        <w:t xml:space="preserve">Q1 FY27 concall: a ~Rs22Cr tax dispute notice flagged as a risk item</w:t>
      </w:r>
    </w:p>
    <w:p>
      <w:pPr>
        <w:pStyle w:val="ListParagraph"/>
        <w:numPr>
          <w:ilvl w:val="0"/>
          <w:numId w:val="1"/>
        </w:numPr>
        <w:spacing w:after="60"/>
      </w:pPr>
      <w:r>
        <w:t xml:space="preserve">Company pursuing a Prepaid Payment Instrument (PPI) licence to expand fintech capability</w:t>
      </w:r>
    </w:p>
    <w:p>
      <w:pPr>
        <w:pStyle w:val="ListParagraph"/>
        <w:numPr>
          <w:ilvl w:val="0"/>
          <w:numId w:val="1"/>
        </w:numPr>
        <w:spacing w:after="60"/>
      </w:pPr>
      <w:r>
        <w:t xml:space="preserve">GNSS/MLFF tolling framework remains in pilot/policy development for commercial vehicles (AIS-140/VLT-based) as of Sept 2026; FASTag remains the principal ETC mechanism at NHAI plazas -- no confirmed displacement yet</w:t>
      </w:r>
    </w:p>
    <w:p>
      <w:pPr>
        <w:spacing w:after="120"/>
      </w:pPr>
      <w:r>
        <w:rPr>
          <w:b/>
          <w:bCs/>
          <w:sz w:val="20"/>
          <w:szCs w:val="20"/>
        </w:rPr>
        <w:t xml:space="preserve">Key new facts vs. the prior write-up:</w:t>
      </w:r>
    </w:p>
    <w:p>
      <w:pPr>
        <w:pStyle w:val="ListParagraph"/>
        <w:numPr>
          <w:ilvl w:val="0"/>
          <w:numId w:val="1"/>
        </w:numPr>
        <w:spacing w:after="60"/>
      </w:pPr>
      <w:r>
        <w:t xml:space="preserve">FY26 was BlackBuck's first full year of profitability -- a bigger milestone than the file previously captured ('only recently turned consistently profitable')</w:t>
      </w:r>
    </w:p>
    <w:p>
      <w:pPr>
        <w:pStyle w:val="ListParagraph"/>
        <w:numPr>
          <w:ilvl w:val="0"/>
          <w:numId w:val="1"/>
        </w:numPr>
        <w:spacing w:after="60"/>
      </w:pPr>
      <w:r>
        <w:t xml:space="preserve">EBITDA margin has actually compressed YoY recently (Q1 FY27 24.9% vs 29% a year earlier), correcting the file's prior assumption of margin 'expanding past 26%'</w:t>
      </w:r>
    </w:p>
    <w:p>
      <w:pPr>
        <w:pStyle w:val="ListParagraph"/>
        <w:numPr>
          <w:ilvl w:val="0"/>
          <w:numId w:val="1"/>
        </w:numPr>
        <w:spacing w:after="60"/>
      </w:pPr>
      <w:r>
        <w:t xml:space="preserve">Promoter holding continues to fall in hard, quantified numbers (27.70%-&gt;25.05% over 4 quarters) with a confirmed Nov-2025 founder block deal, corroborating the previously vague 'promoter selling' flag</w:t>
      </w:r>
    </w:p>
    <w:p>
      <w:pPr>
        <w:pStyle w:val="ListParagraph"/>
        <w:numPr>
          <w:ilvl w:val="0"/>
          <w:numId w:val="1"/>
        </w:numPr>
        <w:spacing w:after="60"/>
      </w:pPr>
      <w:r>
        <w:t xml:space="preserve">SuperLoads sequential growth accelerated to ~50% QoQ (from 23-24%), reaching the 14-city target on schedule and roughly halfway to its load-volume goal -- real, evidenced acceleration</w:t>
      </w:r>
    </w:p>
    <w:p>
      <w:pPr>
        <w:pStyle w:val="ListParagraph"/>
        <w:numPr>
          <w:ilvl w:val="0"/>
          <w:numId w:val="1"/>
        </w:numPr>
        <w:spacing w:after="60"/>
      </w:pPr>
      <w:r>
        <w:t xml:space="preserve">Valuation has de-rated from ~84x P/E (previously cited) to ~65-67x P/E as earnings caught up faster than the price moved</w:t>
      </w:r>
    </w:p>
    <w:p>
      <w:pPr>
        <w:pStyle w:val="ListParagraph"/>
        <w:numPr>
          <w:ilvl w:val="0"/>
          <w:numId w:val="1"/>
        </w:numPr>
        <w:spacing w:after="60"/>
      </w:pPr>
      <w:r>
        <w:t xml:space="preserve">A new ~Rs22Cr tax dispute was flagged in the Q1 FY27 concall -- a previously unrecorded risk item</w:t>
      </w:r>
    </w:p>
    <w:p>
      <w:pPr>
        <w:spacing w:after="120"/>
      </w:pPr>
      <w:r>
        <w:rPr>
          <w:b/>
          <w:bCs/>
          <w:sz w:val="20"/>
          <w:szCs w:val="20"/>
        </w:rPr>
        <w:t xml:space="preserve">Open questions / what to watch:</w:t>
      </w:r>
    </w:p>
    <w:p>
      <w:pPr>
        <w:pStyle w:val="ListParagraph"/>
        <w:numPr>
          <w:ilvl w:val="0"/>
          <w:numId w:val="1"/>
        </w:numPr>
        <w:spacing w:after="60"/>
      </w:pPr>
      <w:r>
        <w:t xml:space="preserve">No direct management commentary found on GNSS/FASTag displacement mitigation strategy specifically</w:t>
      </w:r>
    </w:p>
    <w:p>
      <w:pPr>
        <w:pStyle w:val="ListParagraph"/>
        <w:numPr>
          <w:ilvl w:val="0"/>
          <w:numId w:val="1"/>
        </w:numPr>
        <w:spacing w:after="60"/>
      </w:pPr>
      <w:r>
        <w:t xml:space="preserve">Outcome/materiality of the ~Rs22Cr tax dispute</w:t>
      </w:r>
    </w:p>
    <w:p>
      <w:pPr>
        <w:pStyle w:val="ListParagraph"/>
        <w:numPr>
          <w:ilvl w:val="0"/>
          <w:numId w:val="1"/>
        </w:numPr>
        <w:spacing w:after="60"/>
      </w:pPr>
      <w:r>
        <w:t xml:space="preserve">Whether SuperLoads margin improves with scale/take-rate increases or structurally dilutes core margin longer-term</w:t>
      </w:r>
    </w:p>
    <w:p>
      <w:pPr>
        <w:pStyle w:val="ListParagraph"/>
        <w:numPr>
          <w:ilvl w:val="0"/>
          <w:numId w:val="1"/>
        </w:numPr>
        <w:spacing w:after="60"/>
      </w:pPr>
      <w:r>
        <w:t xml:space="preserve">RPT disclosure detail not independently verified this pass (marked unclear)</w:t>
      </w:r>
    </w:p>
    <w:p>
      <w:pPr>
        <w:pStyle w:val="ListParagraph"/>
        <w:numPr>
          <w:ilvl w:val="0"/>
          <w:numId w:val="1"/>
        </w:numPr>
        <w:spacing w:after="60"/>
      </w:pPr>
      <w:r>
        <w:t xml:space="preserve">Working-capital (receivable/payable days) not sourced this pass -- left absent rather than guessed</w:t>
      </w:r>
    </w:p>
    <w:p>
      <w:pPr>
        <w:spacing w:after="120" w:before="120"/>
      </w:pPr>
      <w:r>
        <w:rPr>
          <w:b/>
          <w:bCs/>
          <w:sz w:val="20"/>
          <w:szCs w:val="20"/>
        </w:rPr>
        <w:t xml:space="preserve">Conviction impact: </w:t>
      </w:r>
      <w:r>
        <w:rPr>
          <w:sz w:val="20"/>
          <w:szCs w:val="20"/>
        </w:rPr>
        <w:t xml:space="preserve">Low-Medium -&gt; Medium. FY26 was BlackBuck's first full profitable year (revenue +53%, adjusted EBITDA +84%, PAT Rs160Cr) and SuperLoads is scaling faster than guided (50% sequential growth, 14 cities, halfway to its load-volume target) -- real, evidenced progress on the core optionality thesis, and valuation has de-rated from ~84x to ~65-67x P/E as earnings caught up. Against this: EBITDA margin has actually compressed YoY (29%-&gt;24.9%) on SuperLoads mix dilution rather than expanding as previously assumed, promoter holding keeps falling (27.70%-&gt;25.05% over four quarters plus a Nov-2025 founder block deal), a new ~Rs22Cr tax dispute surfaced, and the FASTag-vs-GNSS regulatory transition remains unresolved. Four-box score stays at 2.5, which caps conviction at Medium per the quickref's decision table; thesis_fit stays '10x-in-2-3-years' via the mid-cap live-inflection exception (SuperLoads acceleration), with an unconfirmed caveat retained.</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SuperLoads hub expansion 4 -&gt; 14 cities</w:t>
            </w:r>
          </w:p>
        </w:tc>
        <w:tc>
          <w:tcPr>
            <w:tcW w:type="dxa" w:w="2400"/>
          </w:tcPr>
          <w:p>
            <w:r>
              <w:rPr>
                <w:b w:val="false"/>
                <w:bCs w:val="false"/>
                <w:sz w:val="18"/>
                <w:szCs w:val="18"/>
              </w:rPr>
              <w:t xml:space="preserve">reached 14 cities by Mar-Apr 2026, ~50% sequential growth vs ~23-24% prior quarters</w:t>
            </w:r>
          </w:p>
        </w:tc>
        <w:tc>
          <w:tcPr>
            <w:tcW w:type="dxa" w:w="900"/>
          </w:tcPr>
          <w:p>
            <w:r>
              <w:rPr>
                <w:b w:val="false"/>
                <w:bCs w:val="false"/>
                <w:sz w:val="18"/>
                <w:szCs w:val="18"/>
              </w:rPr>
              <w:t xml:space="preserve">6M</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SuperLoads load-volume run-rate target: 5,000 monthly / 250 daily loads</w:t>
            </w:r>
          </w:p>
        </w:tc>
        <w:tc>
          <w:tcPr>
            <w:tcW w:type="dxa" w:w="2400"/>
          </w:tcPr>
          <w:p>
            <w:r>
              <w:rPr>
                <w:b w:val="false"/>
                <w:bCs w:val="false"/>
                <w:sz w:val="18"/>
                <w:szCs w:val="18"/>
              </w:rPr>
              <w:t xml:space="preserve">management states the company is roughly halfway to this target</w:t>
            </w:r>
          </w:p>
        </w:tc>
        <w:tc>
          <w:tcPr>
            <w:tcW w:type="dxa" w:w="900"/>
          </w:tcPr>
          <w:p>
            <w:r>
              <w:rPr>
                <w:b w:val="false"/>
                <w:bCs w:val="false"/>
                <w:sz w:val="18"/>
                <w:szCs w:val="18"/>
              </w:rPr>
              <w:t xml:space="preserve">12M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Majority of incremental EBITDA to convert to cash flow as operating leverage kicks in</w:t>
            </w:r>
          </w:p>
        </w:tc>
        <w:tc>
          <w:tcPr>
            <w:tcW w:type="dxa" w:w="2400"/>
          </w:tcPr>
          <w:p>
            <w:r>
              <w:rPr>
                <w:b w:val="false"/>
                <w:bCs w:val="false"/>
                <w:sz w:val="18"/>
                <w:szCs w:val="18"/>
              </w:rPr>
              <w:t xml:space="preserve">fixed platform-cost base guided to drive margin expansion with scale</w:t>
            </w:r>
          </w:p>
        </w:tc>
        <w:tc>
          <w:tcPr>
            <w:tcW w:type="dxa" w:w="900"/>
          </w:tcPr>
          <w:p>
            <w:r>
              <w:rPr>
                <w:b w:val="false"/>
                <w:bCs w:val="false"/>
                <w:sz w:val="18"/>
                <w:szCs w:val="18"/>
              </w:rPr>
              <w:t xml:space="preserve">12M</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Pursuing a Prepaid Payment Instrument (PPI) licence to expand fintech capability</w:t>
            </w:r>
          </w:p>
        </w:tc>
        <w:tc>
          <w:tcPr>
            <w:tcW w:type="dxa" w:w="2400"/>
          </w:tcPr>
          <w:p>
            <w:r>
              <w:rPr>
                <w:b w:val="false"/>
                <w:bCs w:val="false"/>
                <w:sz w:val="18"/>
                <w:szCs w:val="18"/>
              </w:rPr>
              <w:t xml:space="preserve">regulatory application stage, no confirmed timeline</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FASTag/tolling penetration + GTV growth</w:t>
      </w:r>
      <w:r>
        <w:rPr>
          <w:color w:val="666666"/>
          <w:sz w:val="20"/>
          <w:szCs w:val="20"/>
        </w:rPr>
        <w:t xml:space="preserve"> → </w:t>
      </w:r>
      <w:r>
        <w:rPr>
          <w:b w:val="false"/>
          <w:bCs w:val="false"/>
          <w:sz w:val="20"/>
          <w:szCs w:val="20"/>
        </w:rPr>
        <w:t xml:space="preserve">SuperLoads hub rollout &amp; load-volume ramp</w:t>
      </w:r>
      <w:r>
        <w:rPr>
          <w:color w:val="666666"/>
          <w:sz w:val="20"/>
          <w:szCs w:val="20"/>
        </w:rPr>
        <w:t xml:space="preserve"> → </w:t>
      </w:r>
      <w:r>
        <w:rPr>
          <w:b w:val="false"/>
          <w:bCs w:val="false"/>
          <w:sz w:val="20"/>
          <w:szCs w:val="20"/>
        </w:rPr>
        <w:t xml:space="preserve">platform take-rate revenue</w:t>
      </w:r>
      <w:r>
        <w:rPr>
          <w:color w:val="666666"/>
          <w:sz w:val="20"/>
          <w:szCs w:val="20"/>
        </w:rPr>
        <w:t xml:space="preserve"> → </w:t>
      </w:r>
      <w:r>
        <w:rPr>
          <w:b w:val="false"/>
          <w:bCs w:val="false"/>
          <w:sz w:val="20"/>
          <w:szCs w:val="20"/>
        </w:rPr>
        <w:t xml:space="preserve">operating leverage on fixed platform costs</w:t>
      </w:r>
      <w:r>
        <w:rPr>
          <w:color w:val="666666"/>
          <w:sz w:val="20"/>
          <w:szCs w:val="20"/>
        </w:rPr>
        <w:t xml:space="preserve"> → </w:t>
      </w:r>
      <w:r>
        <w:rPr>
          <w:b w:val="false"/>
          <w:bCs w:val="false"/>
          <w:sz w:val="20"/>
          <w:szCs w:val="20"/>
        </w:rPr>
        <w:t xml:space="preserve">EBITDA margin</w:t>
      </w:r>
      <w:r>
        <w:rPr>
          <w:color w:val="666666"/>
          <w:sz w:val="20"/>
          <w:szCs w:val="20"/>
        </w:rPr>
        <w:t xml:space="preserve"> → </w:t>
      </w:r>
      <w:r>
        <w:rPr>
          <w:b w:val="false"/>
          <w:bCs w:val="false"/>
          <w:sz w:val="20"/>
          <w:szCs w:val="20"/>
        </w:rPr>
        <w:t xml:space="preserve">PAT / FCF</w:t>
      </w:r>
    </w:p>
    <w:p>
      <w:pPr>
        <w:spacing w:after="120"/>
      </w:pPr>
      <w:r>
        <w:rPr>
          <w:color w:val="666666"/>
          <w:sz w:val="18"/>
          <w:szCs w:val="18"/>
        </w:rPr>
        <w:t xml:space="preserve">Bottleneck link: SuperLoads hub density &amp; load-volume ramp.</w:t>
      </w:r>
    </w:p>
    <w:p>
      <w:pPr>
        <w:spacing w:after="120"/>
      </w:pPr>
      <w:r>
        <w:rPr>
          <w:color w:val="666666"/>
          <w:sz w:val="18"/>
          <w:szCs w:val="18"/>
        </w:rPr>
        <w:t xml:space="preserve">Operating leverage: unclear -- management guides fixed-cost operating leverage, but reported EBITDA margin has compressed YoY (29% -&gt; 24.9% in Q1 FY27) as SuperLoads mix dilutes the higher-margin core</w:t>
      </w:r>
    </w:p>
    <w:p>
      <w:pPr>
        <w:spacing w:after="120"/>
      </w:pPr>
      <w:r>
        <w:rPr>
          <w:color w:val="666666"/>
          <w:sz w:val="18"/>
          <w:szCs w:val="18"/>
        </w:rPr>
        <w:t xml:space="preserve">Evidenced: FASTag/tolling penetration + GTV growth; SuperLoads hub rollout &amp; load-volume ramp. Still assumed: operating leverage on fixed platform costs; EBITDA margin expansion.</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2026-09-18</w:t>
            </w:r>
          </w:p>
        </w:tc>
      </w:tr>
      <w:tr>
        <w:tc>
          <w:tcPr>
            <w:tcW w:type="dxa" w:w="3200"/>
            <w:shd w:fill="F2F2F2" w:val="clear"/>
          </w:tcPr>
          <w:p>
            <w:r>
              <w:rPr>
                <w:b/>
                <w:bCs/>
              </w:rPr>
              <w:t xml:space="preserve">Price / multiple</w:t>
            </w:r>
          </w:p>
        </w:tc>
        <w:tc>
          <w:tcPr>
            <w:tcW w:type="dxa" w:w="5800"/>
          </w:tcPr>
          <w:p>
            <w:r>
              <w:t xml:space="preserve">Rs 620 · 66x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~65-67x trailing (EPS ~Rs8.85 FY26) implies the market needs ~35-40%+ EPS CAGR FY26-28 at a ~45-55x exit -- it is pricing continued SuperLoads scale-up and an eventual margin re-inflection off a base where margin is currently compressing, not expanding</w:t>
            </w:r>
          </w:p>
        </w:tc>
      </w:tr>
      <w:tr>
        <w:tc>
          <w:tcPr>
            <w:tcW w:type="dxa" w:w="3200"/>
            <w:shd w:fill="F2F2F2" w:val="clear"/>
          </w:tcPr>
          <w:p>
            <w:r>
              <w:rPr>
                <w:b/>
                <w:bCs/>
              </w:rPr>
              <w:t xml:space="preserve">Our FY27</w:t>
            </w:r>
          </w:p>
        </w:tc>
        <w:tc>
          <w:tcPr>
            <w:tcW w:type="dxa" w:w="5800"/>
          </w:tcPr>
          <w:p>
            <w:r>
              <w:t xml:space="preserve">revenue +30-40% on SuperLoads city/load-volume scale-up and continued core GTV share gains; EBITDA margin likely stays pressured in the mid-to-high 20s% as SuperLoads mix dilutes before any take-rate-driven re-inflection</w:t>
            </w:r>
          </w:p>
        </w:tc>
      </w:tr>
      <w:tr>
        <w:tc>
          <w:tcPr>
            <w:tcW w:type="dxa" w:w="3200"/>
            <w:shd w:fill="F2F2F2" w:val="clear"/>
          </w:tcPr>
          <w:p>
            <w:r>
              <w:rPr>
                <w:b/>
                <w:bCs/>
              </w:rPr>
              <w:t xml:space="preserve">Our FY28</w:t>
            </w:r>
          </w:p>
        </w:tc>
        <w:tc>
          <w:tcPr>
            <w:tcW w:type="dxa" w:w="5800"/>
          </w:tcPr>
          <w:p>
            <w:r>
              <w:t xml:space="preserve">second leg depends on SuperLoads margin normalizing as it scales (take-rate improvement / operating leverage) and on FASTag regulatory continuity; if margin re-inflects toward 30%+ the multiple is easier to defend, if it doesn't the stock is priced for more than the business is currently delivering</w:t>
            </w:r>
          </w:p>
        </w:tc>
      </w:tr>
      <w:tr>
        <w:tc>
          <w:tcPr>
            <w:tcW w:type="dxa" w:w="3200"/>
            <w:shd w:fill="F2F2F2" w:val="clear"/>
          </w:tcPr>
          <w:p>
            <w:r>
              <w:rPr>
                <w:b/>
                <w:bCs/>
              </w:rPr>
              <w:t xml:space="preserve">Gap direction</w:t>
            </w:r>
          </w:p>
        </w:tc>
        <w:tc>
          <w:tcPr>
            <w:tcW w:type="dxa" w:w="5800"/>
          </w:tcPr>
          <w:p>
            <w:r>
              <w:t xml:space="preserve">priced-in</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at ~65-67x the SuperLoads growth is already in the price, but the market appears to be assuming margin expansion that the last few reported quarters do not yet show (margin compressed, not expanded, YoY); FASTag/GNSS regulatory dependency and promoter selling are unpriced downside, not upside</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SuperLoads reaching its guided 5,000-monthly-load / 250-daily-load run-rate, and a quarter showing EBITDA margin re-inflecting rather than continuing to compress</w:t>
      </w:r>
      <w:r>
        <w:rPr>
          <w:color w:val="666666"/>
          <w:sz w:val="18"/>
          <w:szCs w:val="18"/>
        </w:rPr>
        <w:t xml:space="preserve"> (window ~6M from 2026-09-18;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Digital trucking platform -- FASTag-based tolling/telematics + asset-light freight-brokerage marketplace (SuperLoads)</w:t>
            </w:r>
          </w:p>
        </w:tc>
      </w:tr>
      <w:tr>
        <w:tc>
          <w:tcPr>
            <w:tcW w:type="dxa" w:w="3200"/>
            <w:shd w:fill="F2F2F2" w:val="clear"/>
          </w:tcPr>
          <w:p>
            <w:r>
              <w:rPr>
                <w:b/>
                <w:bCs/>
              </w:rPr>
              <w:t xml:space="preserve">This company's position</w:t>
            </w:r>
          </w:p>
        </w:tc>
        <w:tc>
          <w:tcPr>
            <w:tcW w:type="dxa" w:w="5800"/>
          </w:tcPr>
          <w:p>
            <w:r>
              <w:t xml:space="preserve">dominant FASTag-based tolling/telematics platform for Indian truckers, expanding into digital freight brokerage and adjacent fintech (vehicle financing, fuel cards, pursuing a PPI licence)</w:t>
            </w:r>
          </w:p>
        </w:tc>
      </w:tr>
      <w:tr>
        <w:tc>
          <w:tcPr>
            <w:tcW w:type="dxa" w:w="3200"/>
            <w:shd w:fill="F2F2F2" w:val="clear"/>
          </w:tcPr>
          <w:p>
            <w:r>
              <w:rPr>
                <w:b/>
                <w:bCs/>
              </w:rPr>
              <w:t xml:space="preserve">Bottleneck node (pricing power)</w:t>
            </w:r>
          </w:p>
        </w:tc>
        <w:tc>
          <w:tcPr>
            <w:tcW w:type="dxa" w:w="5800"/>
          </w:tcPr>
          <w:p>
            <w:r>
              <w:t xml:space="preserve">hub-level trucking network density for SuperLoads; the FASTag-vs-GNSS regulatory transition for the core tolling business</w:t>
            </w:r>
          </w:p>
        </w:tc>
      </w:tr>
      <w:tr>
        <w:tc>
          <w:tcPr>
            <w:tcW w:type="dxa" w:w="3200"/>
            <w:shd w:fill="F2F2F2" w:val="clear"/>
          </w:tcPr>
          <w:p>
            <w:r>
              <w:rPr>
                <w:b/>
                <w:bCs/>
              </w:rPr>
              <w:t xml:space="preserve">Supply-side status</w:t>
            </w:r>
          </w:p>
        </w:tc>
        <w:tc>
          <w:tcPr>
            <w:tcW w:type="dxa" w:w="5800"/>
          </w:tcPr>
          <w:p>
            <w:r>
              <w:t xml:space="preserve">unclear</w:t>
            </w:r>
          </w:p>
        </w:tc>
      </w:tr>
      <w:tr>
        <w:tc>
          <w:tcPr>
            <w:tcW w:type="dxa" w:w="3200"/>
            <w:shd w:fill="F2F2F2" w:val="clear"/>
          </w:tcPr>
          <w:p>
            <w:r>
              <w:rPr>
                <w:b/>
                <w:bCs/>
              </w:rPr>
              <w:t xml:space="preserve">Adjacent-node peers</w:t>
            </w:r>
          </w:p>
        </w:tc>
        <w:tc>
          <w:tcPr>
            <w:tcW w:type="dxa" w:w="5800"/>
          </w:tcPr>
          <w:p>
            <w:r>
              <w:t xml:space="preserve">Delhivery (Orion freight vertical), Rivigo, FreightTiger, Porter</w:t>
            </w:r>
          </w:p>
        </w:tc>
      </w:tr>
    </w:tbl>
    <w:p>
      <w:pPr>
        <w:spacing w:after="120"/>
      </w:pPr>
      <w:r>
        <w:rPr>
          <w:color w:val="666666"/>
          <w:sz w:val="18"/>
          <w:szCs w:val="18"/>
        </w:rPr>
        <w:t xml:space="preserve">The capital-cycle 'adding/consolidating/exiting' framing maps awkwardly onto an asset-light two-sided marketplace -- SuperLoads is aggressively adding hub coverage, but that is expansion of a still-small base rather than late-cycle capacity glut risk. SuperLoads competes loosely with Delhivery's Orion in digital freight brokerage; the core tolling/telematics business has no direct listed peer at this GTV scale in India.</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FASTag/tolling GTV growth + market-share gains (structural); SuperLoads mix dilution as a fast-growing, currently lower-margin brokerage business scales in (a mix effect expected to normalize with take-rate improvement, not yet evidenced); fixed platform-cost operating leverage (structural, guided but not yet showing up in reported margins).</w:t>
      </w:r>
    </w:p>
    <w:p>
      <w:pPr>
        <w:spacing w:after="120"/>
      </w:pPr>
      <w:r>
        <w:rPr>
          <w:color w:val="666666"/>
          <w:sz w:val="18"/>
          <w:szCs w:val="18"/>
        </w:rPr>
        <w:t xml:space="preserve">FY26 adjusted EBITDA margin (~27-29%) is below FY25's ~32.6%, and Q1 FY27 margin (~24.9%) is below the year-ago ~29% -- this is mix dilution from a fast-growing new business, not a cyclical margin peak in the core tolling business, but it means the market's implied margin-expansion assumption has not yet been delivered.</w:t>
      </w:r>
    </w:p>
    <w:p>
      <w:pPr>
        <w:spacing w:after="60" w:before="120"/>
      </w:pPr>
      <w:r>
        <w:rPr>
          <w:b/>
          <w:bCs/>
          <w:sz w:val="20"/>
          <w:szCs w:val="20"/>
        </w:rPr>
        <w:t xml:space="preserve">Growth trajectory: </w:t>
      </w:r>
      <w:r>
        <w:rPr>
          <w:b/>
          <w:bCs/>
          <w:color w:val="A32020"/>
          <w:sz w:val="20"/>
          <w:szCs w:val="20"/>
        </w:rPr>
        <w:t xml:space="preserve">YoY growth rate is decelerating</w:t>
      </w:r>
    </w:p>
    <w:p>
      <w:pPr>
        <w:spacing w:after="120"/>
      </w:pPr>
      <w:r>
        <w:rPr>
          <w:color w:val="666666"/>
          <w:sz w:val="18"/>
          <w:szCs w:val="18"/>
        </w:rPr>
        <w:t xml:space="preserve">Full-year revenue YoY: FY24 +69%, FY25 +44%, FY26 +53%. Most recent quarterly reads show cooling: ~+52% YoY (Q4 FY26, Rs185.43Cr) -&gt; ~+38% YoY (Q1 FY27, Rs220.5Cr) -- still well above the ~15% core-tolling industry growth rate, but a genuine rate-of-change deceleration to watch against the multiple.</w:t>
      </w:r>
    </w:p>
    <w:p>
      <w:pPr>
        <w:spacing w:after="120"/>
      </w:pPr>
      <w:r>
        <w:rPr>
          <w:color w:val="666666"/>
          <w:sz w:val="18"/>
          <w:szCs w:val="18"/>
        </w:rPr>
        <w:t xml:space="preserve">Reverse P/E: At ~65-67x trailing, the market needs EPS growth to stay in the 35-40%+ zone for several years; the Q4-&gt;Q1 deceleration (52%-&gt;38%) works against, not for, that requirement.</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Asset-light reinvestment into SuperLoads hub rollout (opex-led, minimal capex) delivering positive contribution margin from launch in new hubs; the company is only one year into sustained profitability so a multi-year incremental-ROCE track record is not yet established. (unclear)</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Explicitly building adjacent revenue layers beyond core FASTag/tolling -- SuperLoads freight brokerage, vehicle financing (BFPL), a redesigned lower-cost fuel-sensor line, and pursuit of a Prepaid Payment Instrument (PPI) licence for fintech.</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13% (improving)</w:t>
            </w:r>
          </w:p>
        </w:tc>
      </w:tr>
      <w:tr>
        <w:tc>
          <w:tcPr>
            <w:tcW w:type="dxa" w:w="3200"/>
            <w:shd w:fill="F2F2F2" w:val="clear"/>
          </w:tcPr>
          <w:p>
            <w:r>
              <w:rPr>
                <w:b/>
                <w:bCs/>
              </w:rPr>
              <w:t xml:space="preserve">Leverage</w:t>
            </w:r>
          </w:p>
        </w:tc>
        <w:tc>
          <w:tcPr>
            <w:tcW w:type="dxa" w:w="5800"/>
          </w:tcPr>
          <w:p>
            <w:r>
              <w:t xml:space="preserve">Net debt/EBITDA -0.25x</w:t>
            </w:r>
          </w:p>
        </w:tc>
      </w:tr>
      <w:tr>
        <w:tc>
          <w:tcPr>
            <w:tcW w:type="dxa" w:w="3200"/>
            <w:shd w:fill="F2F2F2" w:val="clear"/>
          </w:tcPr>
          <w:p>
            <w:r>
              <w:rPr>
                <w:b/>
                <w:bCs/>
              </w:rPr>
              <w:t xml:space="preserve">FCF conversion</w:t>
            </w:r>
          </w:p>
        </w:tc>
        <w:tc>
          <w:tcPr>
            <w:tcW w:type="dxa" w:w="5800"/>
          </w:tcPr>
          <w:p>
            <w:r>
              <w:t xml:space="preserve">70%</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0 of the last 3 years (consistency_score 0)</w:t>
      </w:r>
    </w:p>
    <w:p>
      <w:pPr>
        <w:spacing w:after="120"/>
      </w:pPr>
      <w:r>
        <w:rPr>
          <w:color w:val="666666"/>
          <w:sz w:val="18"/>
          <w:szCs w:val="18"/>
        </w:rPr>
        <w:t xml:space="preserve">FY24-FY26 verifiable (FY22-FY23 too loss-heavy for a meaningful ROCE read). Revenue growth cleared &gt;=10% in every year checked (FY24 +69%, FY25 +44%, FY26 +53%), but ROCE never reached the 15% bar in the same window (FY24/FY25 loss-making or near-breakeven, FY26 ROCE ~13%) -- consistent with a business that has only just turned profitable, not yet a Coffee-Can pass.</w:t>
      </w:r>
    </w:p>
    <w:p>
      <w:pPr>
        <w:pStyle w:val="Heading1"/>
        <w:spacing w:after="120" w:before="280"/>
      </w:pPr>
      <w:r>
        <w:t xml:space="preserve">Fundamentals-Gap Checks (shareholding · working capital · sector KPIs · scenario analysis)</w:t>
      </w:r>
    </w:p>
    <w:p>
      <w:pPr>
        <w:spacing w:after="120"/>
      </w:pPr>
      <w:r>
        <w:rPr>
          <w:i/>
          <w:iCs/>
          <w:color w:val="666666"/>
          <w:sz w:val="18"/>
          <w:szCs w:val="18"/>
        </w:rPr>
        <w:t xml:space="preserve">Extra fundamentals extracted from the same filings — informational only, not yet consumed by any scoring script.</w:t>
      </w:r>
    </w:p>
    <w:p>
      <w:pPr>
        <w:spacing w:after="120"/>
      </w:pPr>
      <w:r>
        <w:rPr>
          <w:b/>
          <w:bCs/>
          <w:sz w:val="20"/>
          <w:szCs w:val="20"/>
        </w:rPr>
        <w:t xml:space="preserve">Shareholding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Promoter %</w:t>
            </w:r>
          </w:p>
        </w:tc>
        <w:tc>
          <w:tcPr>
            <w:tcW w:type="dxa" w:w="5800"/>
          </w:tcPr>
          <w:p>
            <w:r>
              <w:t xml:space="preserve">25.05% (falling)</w:t>
            </w:r>
          </w:p>
        </w:tc>
      </w:tr>
      <w:tr>
        <w:tc>
          <w:tcPr>
            <w:tcW w:type="dxa" w:w="3200"/>
            <w:shd w:fill="F2F2F2" w:val="clear"/>
          </w:tcPr>
          <w:p>
            <w:r>
              <w:rPr>
                <w:b/>
                <w:bCs/>
              </w:rPr>
              <w:t xml:space="preserve">Pledge %</w:t>
            </w:r>
          </w:p>
        </w:tc>
        <w:tc>
          <w:tcPr>
            <w:tcW w:type="dxa" w:w="5800"/>
          </w:tcPr>
          <w:p>
            <w:r>
              <w:t xml:space="preserve">0% (stable)</w:t>
            </w:r>
          </w:p>
        </w:tc>
      </w:tr>
      <w:tr>
        <w:tc>
          <w:tcPr>
            <w:tcW w:type="dxa" w:w="3200"/>
            <w:shd w:fill="F2F2F2" w:val="clear"/>
          </w:tcPr>
          <w:p>
            <w:r>
              <w:rPr>
                <w:b/>
                <w:bCs/>
              </w:rPr>
              <w:t xml:space="preserve">FII/DII %</w:t>
            </w:r>
          </w:p>
        </w:tc>
        <w:tc>
          <w:tcPr>
            <w:tcW w:type="dxa" w:w="5800"/>
          </w:tcPr>
          <w:p>
            <w:r>
              <w:t xml:space="preserve">43.28% (rising)</w:t>
            </w:r>
          </w:p>
        </w:tc>
      </w:tr>
      <w:tr>
        <w:tc>
          <w:tcPr>
            <w:tcW w:type="dxa" w:w="3200"/>
            <w:shd w:fill="F2F2F2" w:val="clear"/>
          </w:tcPr>
          <w:p>
            <w:r>
              <w:rPr>
                <w:b/>
                <w:bCs/>
              </w:rPr>
              <w:t xml:space="preserve">Quarters checked</w:t>
            </w:r>
          </w:p>
        </w:tc>
        <w:tc>
          <w:tcPr>
            <w:tcW w:type="dxa" w:w="5800"/>
          </w:tcPr>
          <w:p>
            <w:r>
              <w:t xml:space="preserve">Mar2025, Jun2025, Sep2025, Mar2026</w:t>
            </w:r>
          </w:p>
        </w:tc>
      </w:tr>
    </w:tbl>
    <w:p>
      <w:pPr>
        <w:spacing w:after="120"/>
      </w:pPr>
      <w:r>
        <w:rPr>
          <w:color w:val="666666"/>
          <w:sz w:val="18"/>
          <w:szCs w:val="18"/>
        </w:rPr>
        <w:t xml:space="preserve">Promoter holding fell from 27.70% (Mar-2025) to 25.05% (Mar-2026) via a Nov-2025 founder block deal (~2% stake, Rs676/share) plus earlier mid-2025 early-investor (Flipkart/Accel/Peak XV) exits; no pledge disclosed (concurrent_red_flag false since pledge is stable at 0, not rising). FII+DII holding rose from ~21.85% to ~43.28% over the same window, absorbing the supply -- a genuine but not yet alarming promoter-selling trend.</w:t>
      </w:r>
    </w:p>
    <w:p>
      <w:pPr>
        <w:spacing w:after="120"/>
      </w:pPr>
      <w:r>
        <w:rPr>
          <w:b/>
          <w:bCs/>
          <w:sz w:val="20"/>
          <w:szCs w:val="20"/>
        </w:rPr>
        <w:t xml:space="preserve">Sector KPIs:</w:t>
      </w:r>
    </w:p>
    <w:p>
      <w:pPr>
        <w:pStyle w:val="ListParagraph"/>
        <w:numPr>
          <w:ilvl w:val="0"/>
          <w:numId w:val="1"/>
        </w:numPr>
        <w:spacing w:after="60"/>
      </w:pPr>
      <w:r>
        <w:t xml:space="preserve">Transacting customers: 883,386, +13% YoY (Q1 FY27) (improving)</w:t>
      </w:r>
    </w:p>
    <w:p>
      <w:pPr>
        <w:pStyle w:val="ListParagraph"/>
        <w:numPr>
          <w:ilvl w:val="0"/>
          <w:numId w:val="1"/>
        </w:numPr>
        <w:spacing w:after="60"/>
      </w:pPr>
      <w:r>
        <w:t xml:space="preserve">Tolling GTV growth: ~24% YoY vs ~15% industry (FY26) (improving) — implies market-share gains</w:t>
      </w:r>
    </w:p>
    <w:p>
      <w:pPr>
        <w:pStyle w:val="ListParagraph"/>
        <w:numPr>
          <w:ilvl w:val="0"/>
          <w:numId w:val="1"/>
        </w:numPr>
        <w:spacing w:after="60"/>
      </w:pPr>
      <w:r>
        <w:t xml:space="preserve">SuperLoads city coverage: 14 cities, up from 4 (reached by Mar-Apr 2026) (improving)</w:t>
      </w:r>
    </w:p>
    <w:p>
      <w:pPr>
        <w:pStyle w:val="ListParagraph"/>
        <w:numPr>
          <w:ilvl w:val="0"/>
          <w:numId w:val="1"/>
        </w:numPr>
        <w:spacing w:after="60"/>
      </w:pPr>
      <w:r>
        <w:t xml:space="preserve">SuperLoads sequential growth: ~50% QoQ, up from ~23-24% in prior quarters (improving)</w:t>
      </w:r>
    </w:p>
    <w:p>
      <w:pPr>
        <w:spacing w:after="120"/>
      </w:pPr>
      <w:r>
        <w:rPr>
          <w:b/>
          <w:bCs/>
          <w:sz w:val="20"/>
          <w:szCs w:val="20"/>
        </w:rPr>
        <w:t xml:space="preserve">Scenario analysis (closest to: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Bull</w:t>
            </w:r>
          </w:p>
        </w:tc>
        <w:tc>
          <w:tcPr>
            <w:tcW w:type="dxa" w:w="5800"/>
          </w:tcPr>
          <w:p>
            <w:r>
              <w:t xml:space="preserve">rev CAGR 42%, FY28 margin 32%, FY28 EPS 18, exit 55x, implied price 990 (+60% vs CMP)</w:t>
            </w:r>
          </w:p>
        </w:tc>
      </w:tr>
      <w:tr>
        <w:tc>
          <w:tcPr>
            <w:tcW w:type="dxa" w:w="3200"/>
            <w:shd w:fill="F2F2F2" w:val="clear"/>
          </w:tcPr>
          <w:p>
            <w:r>
              <w:rPr>
                <w:b/>
                <w:bCs/>
              </w:rPr>
              <w:t xml:space="preserve">Base</w:t>
            </w:r>
          </w:p>
        </w:tc>
        <w:tc>
          <w:tcPr>
            <w:tcW w:type="dxa" w:w="5800"/>
          </w:tcPr>
          <w:p>
            <w:r>
              <w:t xml:space="preserve">rev CAGR 26%, FY28 margin 28%, FY28 EPS 14, exit 45x, implied price 630 (+2% vs CMP)</w:t>
            </w:r>
          </w:p>
        </w:tc>
      </w:tr>
      <w:tr>
        <w:tc>
          <w:tcPr>
            <w:tcW w:type="dxa" w:w="3200"/>
            <w:shd w:fill="F2F2F2" w:val="clear"/>
          </w:tcPr>
          <w:p>
            <w:r>
              <w:rPr>
                <w:b/>
                <w:bCs/>
              </w:rPr>
              <w:t xml:space="preserve">Bear</w:t>
            </w:r>
          </w:p>
        </w:tc>
        <w:tc>
          <w:tcPr>
            <w:tcW w:type="dxa" w:w="5800"/>
          </w:tcPr>
          <w:p>
            <w:r>
              <w:t xml:space="preserve">rev CAGR 9%, FY28 margin 22%, FY28 EPS 10.5, exit 30x, implied price 315 (-49% vs CMP)</w:t>
            </w:r>
          </w:p>
        </w:tc>
      </w:tr>
    </w:tbl>
    <w:p>
      <w:pPr>
        <w:spacing w:after="120"/>
      </w:pPr>
      <w:r>
        <w:rPr>
          <w:color w:val="666666"/>
          <w:sz w:val="18"/>
          <w:szCs w:val="18"/>
        </w:rPr>
        <w:t xml:space="preserve">Bull needs SuperLoads margin to re-inflect toward 30%+ on take-rate/scale while sustaining 40%+ growth; bear assumes margin compression continues (mix dilution wins) and growth decelerates toward the mid-teens as the base normalizes. Current price sits close to the base case, consistent with market_expectation.gap_direction 'priced-in'.</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the entire available thread (44 of 44 posts, spanning Feb 2025 to Feb 2026). Substantial, technically-detailed engagement from multiple trusted-elevated users (Gautam_Chopra, Nikunj_Todi, Naman_Gupta1, karanshah137, Amnesiac, UrsRafeek), with real, unresolved debate about regulatory risk: several posters flagged that if the government mandates GNSS-based or bank-account-linked tolling instead of FASTag, a large part of BlackBuck's tolling revenue could be structurally disrupted -- one poster called a 50% government toll-rate cut (implemented mid-2025) 'a major red flag' about future government intervention risk, though the stock didn't correct on the news. This pass's research confirms the GNSS/MLFF framework is still in pilot/policy development for commercial vehicles (AIS-140/VLT-based) as of Sept 2026, with FASTag remaining the principal collection mechanism at NHAI plazas -- the regulatory risk is real but not yet crystallized.</w:t>
      </w:r>
    </w:p>
    <w:p>
      <w:pPr>
        <w:spacing w:after="120"/>
      </w:pPr>
      <w:r>
        <w:rPr>
          <w:b/>
          <w:bCs/>
          <w:sz w:val="20"/>
          <w:szCs w:val="20"/>
        </w:rPr>
        <w:t xml:space="preserve">High-conviction call from a top contributor: </w:t>
      </w:r>
      <w:r>
        <w:rPr>
          <w:sz w:val="20"/>
          <w:szCs w:val="20"/>
        </w:rPr>
        <w:t xml:space="preserve">Per state.json's existing sourcing, Vivek_6954 (trusted) flagged BlackBuck for careful study in his own portfolio thread, disclosing a recent investment 'post good nos'. joinjp2003 (trusted, separate thread) named BlackBuck among his 2025 'conviction bets' alongside CSB Bank, Cartrade, SJS, and Inventurus. Within the company thread itself, Amnesiac (trusted, elevated-tier) provided the most substantive recent bull case (Nov 2025-Feb 2026): core tolling/telematics still has decent margin upside with mostly-fixed costs, and SuperLoads' city expansion (9 cities, targeting 14 by mid-2026, all currently South-India-concentrated with room to add longer pan-India routes) is a real, underappreciated growth lever. Subsequent reporting confirms the 14-city target was reached on schedule.</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2025-11-28 / 2026-02-05 — Amnesiac (trusted, elevated-tier)</w:t>
      </w:r>
      <w:r>
        <w:rPr>
          <w:i/>
          <w:iCs/>
          <w:color w:val="666666"/>
          <w:sz w:val="18"/>
          <w:szCs w:val="18"/>
        </w:rPr>
        <w:t xml:space="preserve"> (Zinka Logistics company thread)</w:t>
      </w:r>
      <w:r>
        <w:rPr>
          <w:sz w:val="20"/>
          <w:szCs w:val="20"/>
        </w:rPr>
        <w:br/>
        <w:t xml:space="preserve">: Argued core tolling/telematics still has margin upside (mostly-fixed costs) and that SuperLoads' rapid city expansion is a real, underappreciated growth driver as it moves beyond its current South-India concentration.</w:t>
      </w:r>
    </w:p>
    <w:p>
      <w:pPr>
        <w:spacing w:after="100"/>
      </w:pPr>
      <w:r>
        <w:rPr>
          <w:b/>
          <w:bCs/>
          <w:sz w:val="20"/>
          <w:szCs w:val="20"/>
        </w:rPr>
        <w:t xml:space="preserve">dated language, post #243 — joinjp2003 (trusted)</w:t>
      </w:r>
      <w:r>
        <w:rPr>
          <w:i/>
          <w:iCs/>
          <w:color w:val="666666"/>
          <w:sz w:val="18"/>
          <w:szCs w:val="18"/>
        </w:rPr>
        <w:t xml:space="preserve"> (My portfolio updates and investment journey)</w:t>
      </w:r>
      <w:r>
        <w:rPr>
          <w:sz w:val="20"/>
          <w:szCs w:val="20"/>
        </w:rPr>
        <w:br/>
        <w:t xml:space="preserve">: Named BlackBuck among 2025 'conviction bets' alongside CSB Bank, Cartrade, SJS, Inventurus.</w:t>
      </w:r>
    </w:p>
    <w:p>
      <w:pPr>
        <w:spacing w:after="100"/>
      </w:pPr>
      <w:r>
        <w:rPr>
          <w:b/>
          <w:bCs/>
          <w:sz w:val="20"/>
          <w:szCs w:val="20"/>
        </w:rPr>
        <w:t xml:space="preserve">dated language, exact post unspecified — Vivek_6954 (trusted)</w:t>
      </w:r>
      <w:r>
        <w:rPr>
          <w:i/>
          <w:iCs/>
          <w:color w:val="666666"/>
          <w:sz w:val="18"/>
          <w:szCs w:val="18"/>
        </w:rPr>
        <w:t xml:space="preserve"> (Vivek Gautam Portfolio)</w:t>
      </w:r>
      <w:r>
        <w:rPr>
          <w:sz w:val="20"/>
          <w:szCs w:val="20"/>
        </w:rPr>
        <w:br/>
        <w:t xml:space="preserve">: Flagged BlackBuck for careful study; disclosed a recent investment made 'post good nos'.</w:t>
      </w:r>
    </w:p>
    <w:p>
      <w:pPr>
        <w:pStyle w:val="Heading1"/>
        <w:spacing w:after="120" w:before="280"/>
      </w:pPr>
      <w:r>
        <w:t xml:space="preserve">BSE Corporate Actions / Other Red Flags</w:t>
      </w:r>
    </w:p>
    <w:p>
      <w:pPr>
        <w:spacing w:after="120"/>
      </w:pPr>
      <w:r>
        <w:t xml:space="preserve">No SEBI/regulatory action found. Promoter stake sales continued through this window: a founder-trio block deal (~36 lakh shares within a ~43 lakh-share / ~2% block) on 18-Nov-2025 at Rs676/share, on top of the earlier flagged late-2025 sales and mid-2025 early-investor exits (Flipkart/Quick Routes sold its full 9.01% for Rs672Cr; Accel and Peak XV also exited/pared). Promoter holding fell from 27.70% (Mar-2025) to 25.05% (Mar-2026) across four quarters while FII holding rose from 11.59% to 32.45% over the same window. A ~Rs22 Cr tax dispute notice was flagged as a risk item in the Q1 FY27 concall.</w:t>
      </w:r>
    </w:p>
    <w:p>
      <w:pPr>
        <w:pStyle w:val="Heading1"/>
        <w:spacing w:after="120" w:before="280"/>
      </w:pPr>
      <w:r>
        <w:t xml:space="preserve">Bull Case</w:t>
      </w:r>
    </w:p>
    <w:p>
      <w:pPr>
        <w:pStyle w:val="ListParagraph"/>
        <w:numPr>
          <w:ilvl w:val="0"/>
          <w:numId w:val="1"/>
        </w:numPr>
        <w:spacing w:after="60"/>
      </w:pPr>
      <w:r>
        <w:t xml:space="preserve">FY26 was a genuine inflection: first full year of profitability (PAT Rs160Cr), revenue +53% to Rs652Cr, adjusted EBITDA +84% to Rs190Cr -- the platform has crossed from loss-making scale-up to a profitable, still fast-growing business</w:t>
      </w:r>
    </w:p>
    <w:p>
      <w:pPr>
        <w:pStyle w:val="ListParagraph"/>
        <w:numPr>
          <w:ilvl w:val="0"/>
          <w:numId w:val="1"/>
        </w:numPr>
        <w:spacing w:after="60"/>
      </w:pPr>
      <w:r>
        <w:t xml:space="preserve">SuperLoads is a genuine, fast-scaling optionality story: sequential growth accelerated to ~50% QoQ (from ~23-24%), 4-&gt;14 cities reached on schedule, roughly halfway to its 5,000-monthly-load target, with newer hubs growing faster than the original four and positive contribution margin from launch</w:t>
      </w:r>
    </w:p>
    <w:p>
      <w:pPr>
        <w:pStyle w:val="ListParagraph"/>
        <w:numPr>
          <w:ilvl w:val="0"/>
          <w:numId w:val="1"/>
        </w:numPr>
        <w:spacing w:after="60"/>
      </w:pPr>
      <w:r>
        <w:t xml:space="preserve">Core tolling/telematics still gaining share (24% GTV growth vs ~15% industry) with mostly-fixed costs leaving room for future operating leverage</w:t>
      </w:r>
    </w:p>
    <w:p>
      <w:pPr>
        <w:pStyle w:val="ListParagraph"/>
        <w:numPr>
          <w:ilvl w:val="0"/>
          <w:numId w:val="1"/>
        </w:numPr>
        <w:spacing w:after="60"/>
      </w:pPr>
      <w:r>
        <w:t xml:space="preserve">Valuation has de-rated as earnings caught up (P/E ~65-67x now vs ~84x cited previously), and multiple trusted users across different threads have flagged or taken positions, including joinjp2003 naming it a 2025 conviction bet</w:t>
      </w:r>
    </w:p>
    <w:p>
      <w:pPr>
        <w:pStyle w:val="Heading1"/>
        <w:spacing w:after="120" w:before="280"/>
      </w:pPr>
      <w:r>
        <w:t xml:space="preserve">Bear Case / Key Risks</w:t>
      </w:r>
    </w:p>
    <w:p>
      <w:pPr>
        <w:pStyle w:val="ListParagraph"/>
        <w:numPr>
          <w:ilvl w:val="0"/>
          <w:numId w:val="1"/>
        </w:numPr>
        <w:spacing w:after="60"/>
      </w:pPr>
      <w:r>
        <w:t xml:space="preserve">EBITDA margin is actually compressing YoY (Q1 FY27 ~24.9% vs ~29% a year earlier) as the lower-margin SuperLoads brokerage mix dilutes the core -- management's guided 'operating leverage kicking in' has not yet shown up in the reported numbers</w:t>
      </w:r>
    </w:p>
    <w:p>
      <w:pPr>
        <w:pStyle w:val="ListParagraph"/>
        <w:numPr>
          <w:ilvl w:val="0"/>
          <w:numId w:val="1"/>
        </w:numPr>
        <w:spacing w:after="60"/>
      </w:pPr>
      <w:r>
        <w:t xml:space="preserve">A real, unresolved regulatory dependency: the GNSS/MLFF tolling framework remains in pilot/policy development for commercial vehicles as of Sept 2026; if it eventually displaces FASTag as the toll-collection backend, a large part of BlackBuck's core tolling revenue (still &gt;60% of total) is structurally at risk</w:t>
      </w:r>
    </w:p>
    <w:p>
      <w:pPr>
        <w:pStyle w:val="ListParagraph"/>
        <w:numPr>
          <w:ilvl w:val="0"/>
          <w:numId w:val="1"/>
        </w:numPr>
        <w:spacing w:after="60"/>
      </w:pPr>
      <w:r>
        <w:t xml:space="preserve">Promoter holding has fallen steadily and materially -- 27.70% to 25.05% across four quarters (Mar-2025 to Mar-2026) -- via a confirmed Nov-2025 founder block deal on top of the earlier flagged sales; FII buying has absorbed the supply so far but this is a genuine, ongoing caution flag, not a one-off</w:t>
      </w:r>
    </w:p>
    <w:p>
      <w:pPr>
        <w:pStyle w:val="ListParagraph"/>
        <w:numPr>
          <w:ilvl w:val="0"/>
          <w:numId w:val="1"/>
        </w:numPr>
        <w:spacing w:after="60"/>
      </w:pPr>
      <w:r>
        <w:t xml:space="preserve">Valuation is still rich (P/E ~65-67x, P/B ~7.8x) for a business one year into sustained profitability, and a new ~Rs22Cr tax dispute surfaced this pass as an unresolved risk item</w:t>
      </w:r>
    </w:p>
    <w:p>
      <w:pPr>
        <w:pStyle w:val="ListParagraph"/>
        <w:numPr>
          <w:ilvl w:val="0"/>
          <w:numId w:val="1"/>
        </w:numPr>
        <w:spacing w:after="60"/>
      </w:pPr>
      <w:r>
        <w:t xml:space="preserve">SuperLoads remains early-stage relative to its ambitions -- the bull case still rests on continued execution of an unproven pan-India scale-up and on margin eventually re-inflecting as the new business matures</w:t>
      </w:r>
    </w:p>
    <w:p>
      <w:pPr>
        <w:pStyle w:val="Heading1"/>
        <w:spacing w:after="120" w:before="280"/>
      </w:pPr>
      <w:r>
        <w:t xml:space="preserve">Market-Cap Tier (informational — not a gate in this project)</w:t>
      </w:r>
    </w:p>
    <w:p>
      <w:pPr>
        <w:spacing w:after="120"/>
      </w:pPr>
      <w:r>
        <w:rPr>
          <w:b/>
          <w:bCs/>
        </w:rPr>
        <w:t xml:space="preserve">mid-cap</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weak · valuation: no  (score 2.5 / 4)</w:t>
      </w:r>
    </w:p>
    <w:p>
      <w:pPr>
        <w:spacing w:after="120"/>
      </w:pPr>
      <w:r>
        <w:rPr>
          <w:i/>
          <w:iCs/>
          <w:color w:val="666666"/>
          <w:sz w:val="20"/>
          <w:szCs w:val="20"/>
        </w:rPr>
        <w:t xml:space="preserve">Core tolling/telematics (24% GTV growth vs ~15% industry) + SuperLoads digital-freight-brokerage (~50% QoQ sequential growth, 4-&gt;14 cities on schedule) is a real dual structural tailwind and supports tam; a real regulatory dependency (FASTag-vs-GNSS policy transition, still unresolved) and unproven SuperLoads unit economics at scale keep moat weak; P/E ~65-67x / P/B ~7.8x is still rich for a business one year into sustained profitability, and margin is compressing not expanding -- valuation no. Continued promoter selling (27.70%-&gt;25.05% over 4 quarters) is a separate caution.</w:t>
      </w:r>
    </w:p>
    <w:p>
      <w:pPr>
        <w:pStyle w:val="Heading1"/>
        <w:spacing w:after="120" w:before="280"/>
      </w:pPr>
      <w:r>
        <w:t xml:space="preserve">Verdict</w:t>
      </w:r>
    </w:p>
    <w:p>
      <w:pPr>
        <w:spacing w:after="120"/>
      </w:pPr>
      <w:r>
        <w:rPr>
          <w:b/>
          <w:bCs/>
          <w:sz w:val="24"/>
          <w:szCs w:val="24"/>
        </w:rPr>
        <w:t xml:space="preserve">FY26's first full profitable year and SuperLoads' faster-than-guided scale-up are real progress, but margin compression, continued promoter selling, and an unresolved FASTag/GNSS regulatory overhang keep conviction at Medium, not higher</w:t>
      </w:r>
    </w:p>
    <w:p>
      <w:pPr>
        <w:pStyle w:val="ListParagraph"/>
        <w:numPr>
          <w:ilvl w:val="0"/>
          <w:numId w:val="1"/>
        </w:numPr>
        <w:spacing w:after="60"/>
      </w:pPr>
      <w:r>
        <w:t xml:space="preserve">The core tolling/telematics business is genuinely strong and gaining share (24% GTV growth vs ~15% industry), and SuperLoads' acceleration to ~50% sequential growth with 14 cities reached on schedule is a credible, evidenced growth catalyst rather than a vague narrative.</w:t>
      </w:r>
    </w:p>
    <w:p>
      <w:pPr>
        <w:pStyle w:val="ListParagraph"/>
        <w:numPr>
          <w:ilvl w:val="0"/>
          <w:numId w:val="1"/>
        </w:numPr>
        <w:spacing w:after="60"/>
      </w:pPr>
      <w:r>
        <w:t xml:space="preserve">FY26 delivered the company's first full year of profitability (PAT Rs160Cr) with revenue +53% and adjusted EBITDA +84% -- a genuine, delivered inflection, not just guidance. Valuation has also de-rated (P/E ~65-67x vs ~84x previously) as earnings caught up.</w:t>
      </w:r>
    </w:p>
    <w:p>
      <w:pPr>
        <w:pStyle w:val="ListParagraph"/>
        <w:numPr>
          <w:ilvl w:val="0"/>
          <w:numId w:val="1"/>
        </w:numPr>
        <w:spacing w:after="60"/>
      </w:pPr>
      <w:r>
        <w:t xml:space="preserve">Set against that: EBITDA margin has compressed YoY (not expanded, as previously assumed) on SuperLoads mix dilution, the FASTag-vs-GNSS regulatory dependency remains genuinely unresolved (flagged directly within the community, not dismissed), and promoter holding keeps falling in hard numbers (27.70%-&gt;25.05% over four quarters plus a confirmed Nov-2025 founder block deal) alongside a newly-surfaced ~Rs22Cr tax dispute.</w:t>
      </w:r>
    </w:p>
    <w:p>
      <w:pPr>
        <w:pStyle w:val="ListParagraph"/>
        <w:numPr>
          <w:ilvl w:val="0"/>
          <w:numId w:val="1"/>
        </w:numPr>
        <w:spacing w:after="60"/>
      </w:pPr>
      <w:r>
        <w:t xml:space="preserve">four_box score stays at 2.5 (tailwind yes, tam yes, moat weak, valuation no) -- per the quickref's decision table this caps conviction at Medium and requires a written exception to keep a return-magnitude thesis_fit label. That exception is the mid-cap live-inflection rule: SuperLoads' evidenced recent-quarter acceleration (not just the 3-5yr average) supports thesis_fit '10x-in-2-3-years' at Medium conviction with an explicit unconfirmed caveat pending regulatory clarity, margin re-inflection, and further SuperLoads scale-up evidence.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2026-09-18T04:32:33.511Z</dcterms:created>
  <dcterms:modified xsi:type="dcterms:W3CDTF">2026-09-18T04:32:33.512Z</dcterms:modified>
</cp:coreProperties>
</file>

<file path=docProps/custom.xml><?xml version="1.0" encoding="utf-8"?>
<Properties xmlns="http://schemas.openxmlformats.org/officeDocument/2006/custom-properties" xmlns:vt="http://schemas.openxmlformats.org/officeDocument/2006/docPropsVTypes"/>
</file>