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Avalon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Dual-shore (US + India) high-mix EMS company with eight straight quarters of sequential growth, a box-build mix now at 60% and a raised FY27 guide - genuine execution, but a ~Rs 15,000 Cr market cap and premium multiple leave little room for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Avalon Technologies is a fully-integrated Electronic Manufacturing Services (EMS) company specialising in high-mix, flexible-volume manufacturing for Aerospace, Defence, Railways, Clean Energy and Industrials. Its 'dual-shore' model pairs US facilities (Atlanta) for prototyping and complex integration with cost-efficient volume plants in India (Chennai, Bengaluru). Capabilities include up to 32-layer PCBs, advanced packaging (POP, BGA, QFN, 01005), and rigid-flex assembly; it recently secured EN 15085-2 railway-welding certification (Kavach hardware eligibility).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14,900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~19.5-23.4% / ~16.9%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revenue ~Rs 484 Cr, +50% YoY; FY27 guidance raised to 26-30% (from 24-27%)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Box-build mix</w:t>
            </w:r>
          </w:p>
        </w:tc>
        <w:tc>
          <w:tcPr>
            <w:tcW w:type="dxa" w:w="5800"/>
          </w:tcPr>
          <w:p>
            <w:r>
              <w:t xml:space="preserve">60% of revenue for the first time (Q1 FY27), up from ~54%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Promoters ~44.4%, 0% pledged; leverage modest (not disclosed precisely in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Cadence</w:t>
            </w:r>
          </w:p>
        </w:tc>
        <w:tc>
          <w:tcPr>
            <w:tcW w:type="dxa" w:w="5800"/>
          </w:tcPr>
          <w:p>
            <w:r>
              <w:t xml:space="preserve">Eighth consecutive quarter of sequential operational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Execution is genuinely strong: eight straight sequential-growth quarters, Q1 FY27 revenue +50% YoY, FY27 guidance raised to 26-30%, and a shift to higher-value box-build (system integration) now at 60% of revenue, which should lift margins toward the 11.5%+ seen in Q4 FY26. The Chennai brownfield expansion is fully operational and new certifications (EN 15085-2) open rail/Kavach tenders. The caveats forum members raise: this is a growth-at-a-premium name, not a cheap compounder; free cash flow, inventory days and tariff recovery are the watch items; and the current multiple could compress if new programs don't ramp before valuation catches up.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has been trading near a fresh 52-week high through Aug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6-post thread but high quality - kdjolly (elevated) compiled detailed, well-received notes (12 loves) on the dual-shore model, PCB fabrication-vs-assembly economics and the 'tribal knowledge' barrier, plus a Q1 FY27 appendix flagging the eighth straight growth quarter, the 60% box-build milestone and the EN 15085-2 certification. siddybee framed the India-EMS structural tailwind (PLI, ECMS, ISM 2.0) as a positive-sum share-gain story. Mohammad_Sami's balanced take: the stock works only if the order book converts to sustained revenue, operating leverage expands margins and working capital normalises - 'growth-at-a-premium', with a possible re-rate toward Rs 1,500 if 11.5%+ margins hold.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kdjolly (elevated) contributed the thread's core research and a positive Q1 FY27 update, but did not state a sized position or an explicit high-conviction call; treat as a well-informed positive framing rather than a conviction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Promoters ~44.4% with 0% pledge. EN 15085-2 railway-welding certification secured (Q1 FY27).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Eight consecutive quarters of sequential growth; Q1 FY27 revenue +50% YoY and FY27 guidance raised to 26-30%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 shift to box-build (60% of revenue) should structurally lift margins toward 11.5%+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Dual-shore US+India model is genuinely differentiated for aerospace/defence/rail customers wanting China-plus-one with US-side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India-EMS structural tailwind (PLI, ECMS, ISM 2.0) in a positive-sum market where multiple players can win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return ratios (ROCE ~20-23%, ROE ~17%), no promoter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15,000 Cr market cap and a premium multiple - a 10x needs ~Rs 1.5 lakh crore, which is a very high bar for an EMS box-builder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Growth-at-a-premium: multiple compression risk if new programs don't ramp on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flow, inventory days and working-capital normalisation are unresolved watch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 exposure and tariff-recovery timing add earnings volatility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EMS is inherently thin-margin and capital-absorbing at scale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strong execution and a real EMS tailwind, but at a ~Rs 15,000 Cr market cap, ~17% ROE and a premium multiple there is no credible path to a 10x in 2-3 years or a 100x in 10 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Dual-shore US+India EMS model + India-EMS PLI/ECMS/ISM 2.0 structural tailwind is real; explicit size math (~Rs15,000cr, needs ~Rs1.5 lakh crore) rules out tam; mix-shift to box-build (60% of revenue) is a genuine differentiating moat for aerospace/defence/rail customers; growth-at-a-premium with real multiple-compression risk — valuation 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well-run dual-shore EMS compounder - but already mid-cap and richly priced, so it fails the 10x/100x screen on size, not quality;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excellent (eight sequential growth quarters, +50% YoY, guidance raised, box-build at 60%) and return ratios are healthy (ROCE ~20-23%).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classification turns on size: at ~Rs 14,900 Cr and ~17% ROE with EMS-level margins, neither a 2-3-year 10x nor a 10-year 100x is realistic without a step-change no one is underwriting.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kdjolly (elevated) supplied strong research and a positive update but no sized/high-conviction call; no conviction floor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 on size; conviction Medium reflecting genuine quality. Not flagged for 30-day revisit (thesis_fit neither).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2026-10-02T02:50:25.927Z</dcterms:created>
  <dcterms:modified xsi:type="dcterms:W3CDTF">2026-10-02T02:50:25.932Z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