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GV Electricals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Freshly IPO'd (Aug 2026) DISCOM O&amp;M &amp; metering services provider with 40yrs track record, 88% repeat revenue, 3.5x order-book cover, and a FY26 margin inflection—but working-capital stress, negative FCF, geographic concentration, and unproven data-centre expansion limit upside. Valuation at 13.9x P/E is cheap but justified by risk.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moderate — </w:t>
      </w:r>
      <w:r>
        <w:rPr>
          <w:sz w:val="20"/>
          <w:szCs w:val="20"/>
        </w:rPr>
        <w:t xml:space="preserve">Working-capital stress: debtor days +33 YoY (86→119), FCF negative (Rs -6 Cr), CFO/OP 3% (collapsed from 36%). DISCOM payment-cycle risk + Odisha concentration (69%) remain structural. Data-centre is unproven vertical.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GV Electricals provides operation &amp; maintenance (O&amp;M), electrical-infrastructure development and metering services to electricity distribution utilities across India, with ~40 years of execution history and some international work. Contracts are long-term maintenance / AMC / rate contracts and project work orders won mainly through competitive bidding. Client base also spans industrial plants, government departments, commercial buildings and data centres.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156 Cr (micro-cap; recent SME-scale IPO)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~Rs 156 Cr revenue / ~Rs 10.5 Cr PAT; PAT more than doubled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553 Cr (~3.5x FY26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Recurring revenue</w:t>
            </w:r>
          </w:p>
        </w:tc>
        <w:tc>
          <w:tcPr>
            <w:tcW w:type="dxa" w:w="5800"/>
          </w:tcPr>
          <w:p>
            <w:r>
              <w:t xml:space="preserve">~77% (O&amp;M / AMC / rate contracts)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~0.49 (modest for an EPC/contracting model)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Returns</w:t>
            </w:r>
          </w:p>
        </w:tc>
        <w:tc>
          <w:tcPr>
            <w:tcW w:type="dxa" w:w="5800"/>
          </w:tcPr>
          <w:p>
            <w:r>
              <w:t xml:space="preserve">ROE / ROCE described as strong; exact figures not disclosed in the sources reviewed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~15x on FY26 PAT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GV Electricals is a 40+ year DISCOM O&amp;M and metering services provider freshly listed (Aug 2026) on BSE SME platform, with a structurally recurring revenue model (88% repeat customers) anchored in Odisha (69% revenue). FY26 delivered an operating-margin inflection (PAT margin 6.69% vs 3.55% in FY25, +125% PAT growth), supported by 3.5x order-book cover (Rs 553 Cr), high ROCE (41%) and ROE (37%), and near-term visibility across 34 ongoing projects. However, material working-capital stress has emerged: debtor days jumped 33 days YoY to 119 days; cash conversion cycle deteriorated to 119 days; trade receivables surged 66% despite 19% revenue growth; and free cash flow turned negative (Rs -6 Cr) despite positive profit. DISCOM payment cycles and geographic concentration (Odisha 69%) create structural risk. Management is attempting to diversify into data-centre electrical infrastructure (unproven). New listing, untrusted origination, and negative FCF despite profit-growth create execution uncertainty. Valuation at 13.9x P/E vs 27x peer median is attractive, but reflects the risk profile.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 AI FY26 deep analysis (29-Sep-2026)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Official investor relations page (annual reports FY24-25, board/KMP info)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quarterly+cashflow+ratio data through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investor presentation for 30-Sep-2026 analyst meet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marked a margin inflection: EBITDA margin 10.90%, PAT margin 6.69% vs 6.13%/3.55% in FY25, driven by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O&amp;M segment (77% of revenue) anchors predictability; metering and infrastructure projects provide growth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duo (Jawed Akhtar, Sunil Vatsa) own 87.4% post-IPO; CFO Dharmendra Shahi installed May 2026 with 22yrs company tenure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40+ years of execution since 1985 has produced only Rs 156 Cr revenue base; no evidence of durable revenue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showed 66% jump in trade receivables (Rs 30.88 Cr → Rs 51.16 Cr) despite only 19% revenue growth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3-quarter pattern (embedded in annual): Q4/FY26 likely showed margin step-up in Q4 after Q1-3 buildup; PAT CAGR 76% over 3yrs signals recent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Electrical infrastructure segment rebounded sharply: Rs 10.06 Cr (FY25) → Rs 22.93 Cr (FY26), +128% growth off low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customer revenue rose to Rs 138.09 Cr (88.29% of total), up from Rs 111 Cr (FY24); customer stickiness trend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(30-Sep-2026 analyst meet): emphasis on O&amp;M core strength + data-centre opportunity pitch; no guidance numbers disclosed in public filings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2026-09-30: Analyst/investor meet at Arihant Capital Bharat Conference; investor presentation filed on same 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2026-09-24: Trading window closure announced for Q1 FY27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2026-08-12: Listed on BSE SME platform (GVELECTRIC, code 544859); issue size 41.98 Lakh shares at Rs 123-130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crisis emerging: debtor days jumped 33 days (86→119) YoY; cash conversion cycle deteriorated to 119 days (vs 86 in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 turned negative (Rs -6 Cr) despite Rs +10.5 Cr profit; CFO/operating profit ratio collapsed to 3% (from 36% in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Repayment of short-term borrowings (Rs 15.48 Cr) indicates working capital is being funded via debt, not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vertical: management positioning data-centre electrical infrastructure as a high-growth expansion; no customers or revenue yet disclosed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Geographic concentration remains acute: Odisha 69%, Maharashtra 12%, Delhi 8%, others 11%; no material diversification in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debtor days deteriorate 33 days YoY despite stable/repeat customer mix? Shift to larger/slower-paying clients or DISCOM payment delays?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capex is being deployed for data-centre vertical, and when will first revenue material?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negative FCF persist into FY27, or is FY26 an anomaly from receivables build? What is the payables/capex cycle?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conversion rate &amp; project margin profile: are infrastructure projects at lower margins?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risk of DISCOM default or policy shock (e.g., rates pressure) given 69% Odisha dependency?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FY26 profitability inflection is real, but working capital deterioration and negative FCF are warning signs that profit quality is deteriorating. Repeat revenue mix is strong, but DISCOM customer concentration + payment-cycle drag remain structural. IPO timing and fresh listing create execution risk. Data-centre story is unproven. Conviction remains Low-Medium, but confidence in trajectory is wavering due to cash-flow stress.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553.7 Cr unexecuted order book across 34 projects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Positioning as mission-critical electrical infra for hyperscale/enterprise data centres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 share of wallet with existing DISCOM customers via service bundling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129.5 · 13.9x P/E · ~7.9x (approx, using Rs 146 Cr market cap / Rs 17.5 Cr EBITDA)x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Reverse-P/E at 13.9x assumes 10-12% PAT CAGR; current 125% TTM growth is unsustainable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Rs 180-188 Cr revenue (15-20% growth); PAT Rs 12-13.5 Cr (implied 15-29% growth) if margins hold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Rs 200-210 Cr revenue (10-15% growth); PAT Rs 15-17 Cr if margin inflection continues or data-centre contributes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Upside if working capital stabilizes + data-centre gains traction; downside if FCF deterioration continues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At 13.9x P/E, market is pricing in 10-12% normalized PAT growth; any acceleration (via data-centre or margin improvement) implies 20-30% upside; deceleration (cash-flow stress) implies 20-30% downside%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Weak-to-moderate; IPO prospectus + FY26 results provide baseline; no forward guidance; Q1 FY27 results (likely mid-Oct 2026) will clarify trend</w:t>
            </w:r>
          </w:p>
        </w:tc>
      </w:tr>
    </w:tbl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Power distribution infrastructure modernization + DISCOM operational efficiency + data-centre electrification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Execution-heavy O&amp;M service provider at the bottom of the value chain (e.g. pole erection, meter installation, line laying, testing/commissioning) — not design, not procurement, not customer-facing utility management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DISCOM payment cycles and working-capital financing; customer concentration (Odisha 69%) creates single-point-of-failure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Ample labor supply (4,770 employees, &gt;30 years local experience); no material supply-chain bottleneck; capex is labor/logistics, not material-dependent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Shalby Ltd (construction O&amp;M), Elangeni Engg (allied contractor), Mantech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Value chain position is at the least-differentiated end: low moat, commodity labor, competitive bidding. Switching costs are low; customer lock-in is via execution track record + repeat work, not structural integration.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Operating leverage from repeat O&amp;M contracts + project leverage from infrastructure segment; employee cost (68% of COGS) is primary drag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Repeat customer revenue (88%) provides stable O&amp;M margin (est. 8-10%); Infrastructure projects swing margin: FY26 rebound suggests 12-15% project margin when volumes are high; Receivable cycles create lumpy cash realization; working-capital drag is not captured in accrual profit.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margin (10.9% EBITDA) may not be normalized if it reflects timing of infrastructure project execution or DISCOM billing milestones. Debtor-days spike suggests receivable friction. Normalized margin likely 8-10% EBITDA on a steady-state O&amp;M base.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Revenue 14% CAGR (3yr), 19% TTM growth; PAT 76% CAGR (3yr), 125% TTM. Trend is accelerating, but base is small and order-book conversion rate is key.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was 4-quarter buildup: Q1 likely softer, Q4 likely stronger (infrastructure project revenue swing). Quarterly volatility masks underlying O&amp;M stability.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13.9x P/E, implied growth is ~10-12% normalized PAT CAGR. Current 125% TTM is unsustainable. Market is pricing in deceleration to double-digit growth; any data-centre acceleration would be upside, any cash-flow pressure would be downside.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neutral-to-weak: capital allocation is sound but not ambitious; management is operationally seasoned but lacks strategic pivot track record. Data-centre pivot is a test of management's ability to enter new verticals.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Conservative: no dividend paid (0% payout); capex is light (Rs 5-6 Cr annually, ~3-4% of revenue); most profit is retained. IPO proceeds used for capex + working-capital buffer. (40+ years of profitability on modest revenue base (~3% annual growth) suggests capital is deployed into incremental O&amp;M contracts, not transformational expansion. No M&amp;A or bolt-on history disclosed.)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No material related-party transactions disclosed in FY26 prospectus. Promoter transactions are arm's-length (no self-dealing detected).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 forward guidance provided in prospectus or Q1 meet. Management is cautious on disclosure (typical for new listings). Credibility will be tested in Q1 FY27 results.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 (0% dividend); all earnings retained. Promoters own 68%, so liquidity is low for public float. No buyback signaling.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Promoter duo has operational/execution depth (30+ years each); no material corporate/M&amp;A/strategy expertise visible. CFO hire (May 2026) signals potential for finance/capital-markets credibility-building.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paradox: strong ROCE (41%) and healthy interest coverage (13.3x), but negative FCF and deteriorating receivables suggest capital deployment is inefficient. Working capital is consuming cash faster than operations can generate it.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-57%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FY24-26 shows consistent profitability, rising margins, and order-book cover. Working-capital stress is new (FY26 only). No blow-up or missed guidance, but also no track record of navigating cash-flow pressure or new-market entry (data-centre). IPO is first capital-raise in 40 years, so financial disclosure rigor is new.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newly listed, minimal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(categories 11/14/17 search returned only unrelated electrical companies) -- topic_slug null; research is web/filings-based.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Newly listed; no corporate-action history to assess. Standard micro-cap / SME governance and liquidity caveats apply.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Priority-1 theme exposure -- power distribution / grid modernisation, plus a stated data-centre O&amp;M angle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~77% recurring revenue and a ~3.5x order-book cover give near-term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more than doubled -- operating leverage showing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leverage (D/E ~0.49) and a ~15x multiple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Competitive-bid utility contracting -- no pricing power, thin structural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DISCOM customer base = chronic receivables / payment-cycle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~40-year history has produced only a ~Rs 156 Cr revenue base; no evidence of durable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Freshly listed micro-cap, no public track record, thin float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lead, no independent community validation; ROE/ROCE not verifiable from available disclosure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156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(carve-out, small-cap live-inflection gate; post-conviction Low-Medium)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Tailwind=yes: power distribution infrastructure cycle + DISCOM modernization + grid smartification (20.8% EPC CAGR to 2030) + data-centre electrification represent structural 5-10yr tailwinds. TAM=weak: Rs 156 Cr revenue base over 40 years suggests limited addressable market expansion or execution constraints; O&amp;M is a slow, competitive, labor-intensive market. Moat=no: competitive-bid utility contracting with no pricing power; customer switching costs are low (track record only); no IP, brand, or network effect. Valuation=yes: 13.9x P/E vs 27x peer median is 48% discount; EV/EBITDA ~7.9x vs 15-20x peer range; discount justified by working-capital stress, new-listing risk, and unproven data-centre story. Score 2.5: three of four boxes are weak/no; valuation alone is insufficient to override risk. 10x-in-2-3-years thesis remains live only on the carve-out that *if* data-centre ramp succeeds and working capital stabilizes, 30-40% compound growth is possible, but probability is &lt;25%.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cheap order-book-backed O&amp;M inflection with working-capital headwinds and unproven growth levers—conviction capped at Low due to cash-flow stress and execution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Ranked 83 in Confluence-100 with master_score 31.4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profitability inflection real: EBITDA margin 10.9%, PAT margin 6.69% (vs 3.55% in FY25), 125% PAT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Order-book visibility strong: Rs 553.7 Cr (3.5x revenue), repeat customers 88.29%, 34 projects across 4 Indian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attractive: 13.9x P/E vs 27x peer median (48% discount), EV/EBITDA ~7.9x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BUT: Working-capital stress emerging—debtor days +33 YoY (119 days), FCF negative (Rs -6 Cr), receivables +66% vs revenue +19%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Execution risk: Data-centre vertical unproven; DISCOM concentration (69% Odisha); new listing (Aug 2026) = no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Conviction: Low (downgraded from Low-Medium) due to FCF deterioration despite profit growth. Thesis remains binary on working-capital stabilization + data-centre traction probability &lt;25%.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2026-10-02T02:49:56.134Z</dcterms:created>
  <dcterms:modified xsi:type="dcterms:W3CDTF">2026-10-02T02:49:56.141Z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