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Ashiana Housing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Debt-light senior-living developer riding a genuine demographic tailwind (~Rs8,000cr GDV pipeline), but 32.5x trailing P/E and a historically weak ROCE track record (just inflecting) cap conviction at Medium</w:t>
      </w:r>
    </w:p>
    <w:p>
      <w:pPr>
        <w:shd w:fill="FFF0F0" w:val="clear"/>
        <w:spacing w:after="200"/>
      </w:pPr>
      <w:r>
        <w:rPr>
          <w:b/>
          <w:bCs/>
          <w:color w:val="1E7A34"/>
          <w:sz w:val="22"/>
          <w:szCs w:val="22"/>
        </w:rPr>
        <w:t xml:space="preserve">RED FLAG TIER: CLEAR — </w:t>
      </w:r>
      <w:r>
        <w:rPr>
          <w:sz w:val="20"/>
          <w:szCs w:val="20"/>
        </w:rPr>
        <w:t xml:space="preserve"/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Ashiana Housing is a 45+ year-old pan-India residential developer (8 cities) now pivoting toward senior living as its primary growth engine -- the segment was ~41% of Q1 FY27 bookings (up from ~25%+ a year earlier) against a stated medium-term target of ~50%, alongside kid-centric and premium/elite residential formats. The company is debt-light (D/E 0.30, Debt/CFO ~0.5x per ICRA) and funds its ~Rs425cr/year senior-living capex largely from internal collections. FY27 presales guidance is Rs2,200cr, building on FY26's record bookings (~+25% YoY) and FY25's then-record Rs1,937cr.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3,840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P/E (trailing)</w:t>
            </w:r>
          </w:p>
        </w:tc>
        <w:tc>
          <w:tcPr>
            <w:tcW w:type="dxa" w:w="5800"/>
          </w:tcPr>
          <w:p>
            <w:r>
              <w:t xml:space="preserve">~Rs 384 / ~32.5x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 (FY26)</w:t>
            </w:r>
          </w:p>
        </w:tc>
        <w:tc>
          <w:tcPr>
            <w:tcW w:type="dxa" w:w="5800"/>
          </w:tcPr>
          <w:p>
            <w:r>
              <w:t xml:space="preserve">14.0% / 13.8%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3-yr avg ROCE (FY23-25)</w:t>
            </w:r>
          </w:p>
        </w:tc>
        <w:tc>
          <w:tcPr>
            <w:tcW w:type="dxa" w:w="5800"/>
          </w:tcPr>
          <w:p>
            <w:r>
              <w:t xml:space="preserve">6.2% (median 3.7%) -- screener.in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(FY26)</w:t>
            </w:r>
          </w:p>
        </w:tc>
        <w:tc>
          <w:tcPr>
            <w:tcW w:type="dxa" w:w="5800"/>
          </w:tcPr>
          <w:p>
            <w:r>
              <w:t xml:space="preserve">Rs 1,143 Cr (+116% YoY, record; completion-method, lumpy)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PAT (FY26)</w:t>
            </w:r>
          </w:p>
        </w:tc>
        <w:tc>
          <w:tcPr>
            <w:tcW w:type="dxa" w:w="5800"/>
          </w:tcPr>
          <w:p>
            <w:r>
              <w:t xml:space="preserve">Rs 118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Bookings/Presales (FY26)</w:t>
            </w:r>
          </w:p>
        </w:tc>
        <w:tc>
          <w:tcPr>
            <w:tcW w:type="dxa" w:w="5800"/>
          </w:tcPr>
          <w:p>
            <w:r>
              <w:t xml:space="preserve">~Rs 2,400 Cr est. (~+25% YoY, record); FY27 guidance Rs 2,200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Collections (FY26)</w:t>
            </w:r>
          </w:p>
        </w:tc>
        <w:tc>
          <w:tcPr>
            <w:tcW w:type="dxa" w:w="5800"/>
          </w:tcPr>
          <w:p>
            <w:r>
              <w:t xml:space="preserve">Rs 1,484 Cr (+40% YoY)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 / Equity</w:t>
            </w:r>
          </w:p>
        </w:tc>
        <w:tc>
          <w:tcPr>
            <w:tcW w:type="dxa" w:w="5800"/>
          </w:tcPr>
          <w:p>
            <w:r>
              <w:t xml:space="preserve">0.30 (net debt ~Rs 958 Cr; Debt/CFO ~0.5x per ICRA)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 holding / Pledge</w:t>
            </w:r>
          </w:p>
        </w:tc>
        <w:tc>
          <w:tcPr>
            <w:tcW w:type="dxa" w:w="5800"/>
          </w:tcPr>
          <w:p>
            <w:r>
              <w:t xml:space="preserve">61.11% / 0% (stable, no pledge)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Credit ratings</w:t>
            </w:r>
          </w:p>
        </w:tc>
        <w:tc>
          <w:tcPr>
            <w:tcW w:type="dxa" w:w="5800"/>
          </w:tcPr>
          <w:p>
            <w:r>
              <w:t xml:space="preserve">ICRA reaffirmed (Sep-2025); CARE A; Stable reaffirmed (Dec-2025, Rs454.08cr NCDs)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Revenue recognition follows the completion method, so P&amp;L revenue is lumpy and a poor quarter-to-quarter read (Q1 FY27 revenue fell to Rs107cr from Rs293cr YoY even as bookings and collections grew) -- bookings/presales and collections are the cleaner demand signals, and both have grown every year since FY24. ROCE has historically been weak (FY23-25 3-yr average just 6.2%, median 3.7% per screener.in) and FY26's 14.0% print, while a real inflection, still falls just short of the Coffee-Can 15% hurdle. At ~32.5x trailing P/E and ~4.4x P/B, the market is already paying up for the senior-living growth story; both ICRA (Sep-2025) and CARE (Dec-2025) reaffirmed stable ratings, and promoter holding (61.11%) has been flat with zero pledge throughout.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2026-10-01.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screener.in (Ashiana Housing consolidated): market cap, P/E, ROCE/ROE, 5yr revenue/PAT table, quarterly results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ICRA rating rationale (Sep-2025 reaffirmation) + CARE Ratings reaffirmation (Dec-2025, NSE filing): leverage (Debt/CFO ~0.5x), debt repayment schedule, rating stability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concall/results coverage (multibagg.ai; NSE concall transcript filed): revenue, PAT, bookings, collections, senior-living mix, Pune land acquisition, FY27 guidance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results / media coverage (whalesbook, business-standard, sahi.com): FY26 record revenue/profit/bookings, senior-living GDV pipeline (~Rs8,000cr of ~Rs16,000cr), FY26 senior-living capex (Rs425cr vs Rs213cr FY25)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Shareholding-pattern aggregators (valueresearchonline, indiainfoline): promoter 61.11%, zero pledge, FII/DII breakdown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tradebrains.in sector analysis (citing Mordor Intelligence): India senior-living TAM (~USD3.55bn -&gt; ~USD14.14bn by 2031), Ashiana pricing power (Rs15,200/sqft vs Rs7-10k/sqft floor)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revenue (completion-method) jumped to a record Rs1,143cr (+116% YoY) with PAT of Rs118cr, but this follows a FY25 completion-timing trough (Rs529cr revenue, Rs18cr PAT) -- P&amp;L swings far more than underlying demand (bookings grew every year FY24-FY26)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Capex/land program: Rs425cr senior-living outlay budgeted for FY26 (vs Rs213cr FY25), funding Pune (28.55 acres, ~Rs1,800cr sales potential), a Chennai MWC lease (~Rs1,200cr potential) and Maharashtra land -- funded predominantly off internal collections, not fresh borrowing (D/E held at 0.30)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Debt schedule: ICRA's Sep-2025 rationale pegs Total External Debt/CFO at ~0.5x as of Mar-2025, expected to stay 0.5-0.7x through Mar-2026 -- a comfortably serviced, working-capital-style leverage profile, not stressed debt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stable at 61.11% through FY26 into Jun-2026 with zero pledge across all four named promoter individuals -- no promoter-exit signal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auditor resignation, SEBI action, or related-party-transaction disclosure surfaced in the sources reviewed this pass -- RPT specifically was not independently verified and is flagged as an open question rather than assumed clean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Could not directly fetch/parse the FY25-26 annual report PDF this pass (aggregator/rating-agency coverage used instead) -- a dedicated AR read for RPT disclosures and segment-level capex status would strengthen the next pass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(Jun-2026 qtr): P&amp;L revenue fell to Rs107.44cr from Rs292.72cr YoY on delivery/completion timing, but PAT held at Rs13.11cr (vs Rs12.72cr YoY, aided by ~Rs12.31cr other income) -- shows how disconnected quarterly P&amp;L is from underlying demand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bookings Rs358cr (3.60 lakh sqft, 234 units) at an improved average realization of Rs9,923/sqft; collections Rs409cr and pre-tax operating cash flow Rs121cr both stayed healthy despite the revenue dip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Senior-living mix in Q1 FY27 reached 41% of the portfolio (vs 23% kid-centric, 36% elite/premium) -- up sharply from ~25%+ a year earlier, confirming the stated strategic pivot is actually showing up in the numbers, not just guidance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full-year: bookings rose ~25% YoY to a record, collections +40% YoY to Rs1,484cr, and senior-living area booked alone was Rs570.15cr (Advik, Amodh, Vatsalya, Swarang projects) -- broad-based, not one-project-dependent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FY27 guidance: Rs2,200cr full-year presales; YTD presales Rs859cr by late Jul-2026 with H1 exit guided at Rs1,050-1,100cr -- tracking plausible but requires H2 (seasonally stronger) to deliver the back-half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Dec-2025: CARE Ratings reaffirmed CARE A; Stable for the issuer rating and Rs454.08cr of NCDs across five tranches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Sep-2025: ICRA reaffirmed Ashiana's rating with the rated amount enhanced, citing improved FY25 sales/collections expected to sustain into FY26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Jul/Aug-2026: Q1 FY27 results + concall -- Pune 28.55-acre senior-living land acquisition (~Rs1,800cr potential) disclosed, FY27 Rs2,200cr presales guidance reiterated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Apr-2026: FY26 results -- record annual revenue/profit/bookings announced; FY26 senior-living capex outlay of Rs425cr disclosed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3-yr ROCE average (FY23-25) of just 6.2% (median 3.7%, screener.in) is materially weaker than the headline FY26 14.0% figure suggests on its own -- FY26 is a genuine but still-unconfirmed single-year inflection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Ashiana has no listed pure-play senior-living competitor in India; the real competitive set (Antara/Max, Columbia Pacific Communities, Primus) is private/PE-backed, which both reduces near-term competitive pressure and means there's no public comp to benchmark valuation against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Revenue recognition lumpiness is severe enough that a single quarter's P&amp;L (Q1 FY27's Rs107cr vs Rs293cr YoY) can look like a business in decline even while bookings, collections and cash flow all improved -- bookings/collections, not quarterly P&amp;L, are the right demand signal here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reported FY25 operating-cash-flow figure of Rs2,335cr (vs just Rs529cr FY25 revenue) found on one aggregator is almost certainly erroneous/mismatched and was excluded from this write-up rather than used -- flagged so a future pass sources CFO directly from the annual report cash-flow statement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What is the FY23-26 related-party-transaction trend? Not independently sourced this pass -- management_quality.rpt_trend left 'unclear' rather than guessed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Clean trailing net-debt/EBITDA and FCF-conversion figures could not be derived from consistent sources this pass (one aggregator's FY25 CFO figure was internally implausible) -- worth a direct annual-report cash-flow-statement read next pass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FY27 H2 presales actually deliver the back-half needed to hit the Rs2,200cr full-year guidance, or does the H1 run-rate (Rs1,050-1,100cr guided exit) imply a miss?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How is the newly acquired Pune/Maharashtra land performing on capex efficiency -- no completed project cycle yet to check return on the stepped-up ~Rs425cr/year senior-living capex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Low-Medium -&gt; Medium. Four-box score 3.0 (tailwind yes, tam yes; moat weak, valuation weak) supports the 10x-in-2-3-years label, and primary-document-adjacent sources (ICRA/CARE rating rationales, FY26/Q1 FY27 results) confirm real demand growth (bookings ~+25% YoY, collections +40% YoY), zero pledge, and disciplined internally-funded capex. Held below Medium-High by a historically weak 3-yr ROCE average (6.2%), an already-full ~32.5x P/E, and several quality metrics that couldn't be cleanly sourced this pass.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 presales guidance of Rs 2,200cr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YTD Rs859cr by late Jul-2026, H1 exit guided Rs1,050-1,100cr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Pune 28.55-acre senior-living land acquisition, ~Rs1,800cr sales potential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land acquired Q1 FY27 (quarter ended Jun-2026), no launch date disclosed yet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strategy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Senior-living portfolio mix target ~50% of total presales (vs 41% in Q1 FY27, ~25%+ a year earlier)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aspiration Rs1,000cr+ senior-living presales annually in the medium term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capex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Rs425cr FY26 senior-living capex (up from Rs213cr FY25), continuing into FY27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funds land + construction for Chennai (MWC lease, ~Rs1,200cr potential), Pune, Maharashtra acquisitions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senior-living land acquisition &amp; launch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presales/bookings growth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construction progress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 recognition (completion method)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margin realization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PAT/FCF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construction-to-completion timing (revenue recognition lag causes severe quarter-to-quarter lumpiness).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unclear -- margin swings (OPM ~6%-19% across recent quarters) look driven mostly by project mix/completion-timing rather than a clean operating-leverage curve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presales/bookings growth; construction progress (senior-living capex deployed, land acquired). Still assumed: margin realization at the guided senior-living premium; PAT/FCF stability once the mix shift completes.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2026-10-01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384 · 32.5x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~20-22% EPS CAGR FY26-28 needed to de-rate today's ~32.5x trailing multiple to a ~22x exit (reverse-P/E estimate; real-estate developer, not a steady compounder)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Presales guidance Rs2,200cr (roughly flat-to-up vs FY26's ~Rs2,400cr est. actual); P&amp;L revenue stays lumpy under completion accounting -- Q1 FY27 revenue fell sharply YoY on delivery timing even as bookings/collections held up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Senior-living mix continuing toward the stated ~50% target; newly acquired Pune/Chennai/Maharashtra land beginning to convert to launches/bookings, with P&amp;L revenue likely catching up to FY26-27 bookings -- timing (and thus FY28 EPS) is inherently uncertain under completion accounting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partially-priced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timing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32.5x trailing P/E already prices meaningful growth; the unresolved variable is less THAT growth happens (presales/collections confirm demand) and more WHEN it shows up in reported P&amp;L given completion-method lumpiness, plus whether newly-acquired land converts to launches on the stated FY26-27 timeline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moderate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H1 FY27 presales exit print (~Rs1,050-1,100cr guided) + Pune/Chennai senior-living project launch</w:t>
      </w:r>
      <w:r>
        <w:rPr>
          <w:color w:val="666666"/>
          <w:sz w:val="18"/>
          <w:szCs w:val="18"/>
        </w:rPr>
        <w:t xml:space="preserve"> (window ~6M from 2026-10-01; undated;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organized Indian real estate / senior-living niche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developer across senior-living, kid-centric, and premium/elite residential formats in 8 cities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land acquisition + regulatory approvals in target cities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adding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Puravankara, Sunteck Realty, Shriram Properties, Antara/Max Estates (unlisted senior-living peer)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No listed pure-play senior-living competitor exists in India yet; Ashiana's capital/land competition is general residential developers, while in senior-living specifically the real competitive set is unlisted/PE-backed (Antara, Columbia Pacific Communities, Primus) -- supply-side is still in an early build-out phase, not yet consolidating.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/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completion-method revenue recognition timing (delivery lumpiness dominates quarter-to-quarter swings); product mix shift toward senior living (~Rs15,200/sqft vs Rs7,000-10,000/sqft industry floor); construction/input cost inflation.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OPM swung roughly 6%-19% across recent quarters purely on project-completion timing, not a cyclical peak; through-cycle margin is better read off annual figures -- FY26's ~10.3% PAT margin (Rs118cr/Rs1,143cr) is a more representative base than any single quarter.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lumpy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Quarterly P&amp;L revenue is completion-driven and not simply YoY-comparable: Q1 FY26 Rs293cr -&gt; Q1 FY27 Rs107cr (down sharply on delivery timing) even as presales/collections grew. FY-level revenue: FY23 Rs410cr -&gt; FY24 Rs944cr (+130%) -&gt; FY25 Rs529cr (-44%, low-completion year) -&gt; FY26 Rs1,143cr (+116%, record). Bookings/presales (the real demand signal) grew every year: FY24 Rs1,798cr -&gt; FY25 Rs1,937cr (+7.7%) -&gt; FY26 ~+25% YoY per company release.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~32.5x trailing P/E is rich for a lumpy-earnings developer; the market is paying more for the senior-living growth optionality (bookings/collections trajectory) than for the reported P&amp;L trend, which does not move cleanly year to year.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Senior-living capex funded largely from internal accruals/collections (D/E just 0.30, net debt ~Rs958cr, Debt/CFO ~0.5x per ICRA); strategic land acquisitions in Pune, Chennai (MWC lease) and Maharashtra funded without large incremental borrowing; no unrelated diversification found in sources reviewed (disciplined)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reliable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consistent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Explicit mix-shift up the value chain from plain residential to higher-realization, stickier senior-living format (41% of Q1 FY27 bookings vs ~25%+ a year prior, target ~50%), with recurring lifestyle-services revenue (dining, ~300 activities/month) layered on the one-time sale.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14% (improving)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0 of the last 4 years (consistency_score 0)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FY23-25 3-yr avg ROCE ~6.2% (median 3.7%, screener.in) never reached the 15% hurdle despite strong revenue growth in FY23/FY24; FY25 also failed the revenue-growth leg outright (-44%). FY26's 14.0% ROCE (on +116% revenue growth) is the closest miss -- just under the 15% bar -- a real but still-unconfirmed single-year inflection. Real-estate completion accounting makes per-year ROCE a volatile, imperfect read for this business model.</w:t>
      </w:r>
    </w:p>
    <w:p>
      <w:pPr>
        <w:pStyle w:val="Heading1"/>
        <w:spacing w:after="120" w:before="280"/>
      </w:pPr>
      <w:r>
        <w:t xml:space="preserve">Fundamentals-Gap Checks (shareholding · working capital · sector KPIs · scenario analysis)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fundamentals extracted from the same filings — informational only, not yet consumed by any scoring script.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Shareholding pattern: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 %</w:t>
            </w:r>
          </w:p>
        </w:tc>
        <w:tc>
          <w:tcPr>
            <w:tcW w:type="dxa" w:w="5800"/>
          </w:tcPr>
          <w:p>
            <w:r>
              <w:t xml:space="preserve">61.11% (stable)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Pledge %</w:t>
            </w:r>
          </w:p>
        </w:tc>
        <w:tc>
          <w:tcPr>
            <w:tcW w:type="dxa" w:w="5800"/>
          </w:tcPr>
          <w:p>
            <w:r>
              <w:t xml:space="preserve">0% (stable)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FII/DII %</w:t>
            </w:r>
          </w:p>
        </w:tc>
        <w:tc>
          <w:tcPr>
            <w:tcW w:type="dxa" w:w="5800"/>
          </w:tcPr>
          <w:p>
            <w:r>
              <w:t xml:space="preserve">16.3% (unclear)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Quarters checked</w:t>
            </w:r>
          </w:p>
        </w:tc>
        <w:tc>
          <w:tcPr>
            <w:tcW w:type="dxa" w:w="5800"/>
          </w:tcPr>
          <w:p>
            <w:r>
              <w:t xml:space="preserve">Dec-2025, Mar-2026, Jun-2026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Promoter holding flat at 61.11% Dec-2025 through Mar-2026 (effectively through Jun-2026 too); zero pledge across all four named promoter individuals (Varun/Ankur/Vishal/Rachna Gupta) throughout. FII+DII combined ~16.3% as of Jun-2026 (FII 8.2%, DII 8.1%) -- directional trend not independently confirmed this pass.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Sector KPIs: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Presales/bookings (annual): ~Rs2,400cr FY26 est. (~+25% YoY, record); FY27 guidance Rs2,200cr (improving) — YTD FY27 Rs859cr by late Jul-2026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Collections (annual): Rs1,484cr FY26 (+40% YoY) (improving)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Senior-living mix (% of bookings): 41% in Q1 FY27, up from ~25%+ a year earlier (improving) — stated medium-term target ~50%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Average realization: Rs9,923/sqft (Q1 FY27 blended); flagship senior-living projects ~Rs15,200/sqft (improving) — vs industry senior-living floor Rs7,000-10,000/sqft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assessed.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Not assessed.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Not assessed.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Structural, underpenetrated senior-living TAM (India market ~USD3.55bn in 2025 -&gt; ~USD14.14bn by 2031, ~26% CAGR, Mordor Intelligence) with Ashiana an early, premium-positioned mover (Rs15,200/sqft realizations vs Rs7,000-10,000/sqft industry floor)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Demand is real and growing across every available data point: bookings ~+25% YoY (FY26, record), collections +40% YoY to Rs1,484cr, Q1 FY27 presales tracking toward FY27's Rs2,200cr guidance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Debt-light, internally-funded growth (D/E 0.30, zero pledge, two independent rating agencies -- ICRA and CARE -- reaffirmed stable ratings through FY26/25) gives balance-sheet room to keep acquiring land (Pune 28.55 acres ~Rs1,800cr potential, Chennai MWC lease ~Rs1,200cr potential) without dilution or distress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Mix-shift up the value chain: senior living (stickier, recurring lifestyle-services revenue layered on the one-time sale, ~300 activities/month) rising from ~25% to ~41% of bookings in a year, management's stated target ~50%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ROCE inflected to 14.0% from a 6.2% 3-yr average -- the first real sign the capital-intensive build-out phase may be turning into returns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ROCE has been weak for most of the company's recent history (FY23-25 3-yr average just 6.2%, median 3.7%) -- FY26's 14.0% is one data point, not yet a confirmed trend, and still misses the 15% Coffee-Can hurdle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At ~32.5x trailing P/E and ~4.4x P/B, the senior-living growth story is already substantially priced in -- not a cheap entry even if the demographic thesis plays out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structural moat: Ashiana's premium pricing and lifestyle differentiation are real but not a hard barrier -- PE-backed private players (Antara, Columbia Pacific Communities, Primus) are actively expanding into the same underpenetrated niche and could compress the pricing/returns advantage over time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P&amp;L revenue recognition (completion method) is genuinely lumpy and hard to model -- Q1 FY27 revenue fell to Rs107cr from Rs293cr YoY despite bookings/collections growth, and a clean trailing net-debt/EBITDA or FCF-conversion figure could not be derived cleanly this pass (source data was internally inconsistent)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Newly acquired senior-living land (Pune, Chennai, Maharashtra) is too recent to show a completed project cycle -- capex efficiency on the stepped-up ~Rs425cr/year outlay is unproven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RPT trend not assessed this pass -- an open question given promoter family concentration (61.11% combined, four individuals each &gt;1%)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3,840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yes · moat: weak · valuation: weak  (score 3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Senior-living demographics is a genuine structural multi-decade driver (India TAM ~USD3.55bn 2025 -&gt; ~USD14.14bn 2031, Mordor Intelligence), confirmed by real FY26 bookings/collections growth, not just narrative. TAM headroom real: ~Rs8,000cr senior-living GDV pipeline of ~Rs16,000cr total vs Rs1,143cr FY26 base. Moat weak -- premium pricing (Rs15,200/sqft) and lifestyle differentiation are real but not structural; PE-backed entrants (Antara, Columbia Pacific, Primus) could erode the edge. Valuation weak -- ~32.5x trailing P/E / ~4.4x P/B already price in meaningful growth.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Genuine senior-living demographic tailwind and disciplined, internally-funded growth, but a historically weak ROCE track record (just inflecting) and an already-full ~32.5x multiple keep conviction at Medium rather than higher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Four-box score 3.0 (tailwind yes, tam yes; moat weak, valuation weak) permits the 10x-in-2-3-years label -- senior-living GDV pipeline (~Rs8,000cr of ~Rs16,000cr total) against a ~26% CAGR, structurally underpenetrated Indian senior-living TAM (Mordor Intelligence) is a real, primary-source-adjacent headroom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Demand signal confirmed beyond investor-deck narrative: FY26 bookings ~+25% YoY to a record, collections +40% YoY to Rs1,484cr, FY27 presales guidance Rs2,200cr already tracking (YTD Rs859cr by late Jul-2026, H1 exit guided Rs1,050-1,100cr)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Capital discipline is real: D/E 0.30, Debt/CFO ~0.5x (ICRA), both ICRA (Sep-2025) and CARE (Dec-2025) reaffirmed stable ratings, zero promoter pledge, and new senior-living land (Pune, Chennai, Maharashtra) acquired largely off internal accruals rather than fresh debt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Held back from a higher conviction: 3-yr average ROCE (FY23-25) was just 6.2% (median 3.7%, screener.in) and even FY26's inflection to 14.0% falls just short of the 15% Coffee-Can hurdle; moat is weak (premium pricing/lifestyle differentiation, but no structural barrier against PE-backed entrants like Antara/Columbia Pacific); valuation is already full at ~32.5x trailing P/E / ~4.4x P/B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 flag: no pledge, no auditor resignation or SEBI action found, ratings stable-to-improving; RPT trend and a clean net-debt/EBITDA figure could not be cleanly sourced this pass -- flagged as open questions, not treated as negative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2026-10-01T15:07:10.929Z</dcterms:created>
  <dcterms:modified xsi:type="dcterms:W3CDTF">2026-10-01T15:07:10.934Z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