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Epack Durable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Room-AC ODM/OEM manufacturer with near-zero profitability and zero forum engagement — filtered out at Step 3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Original design/equipment manufacturer of room air conditioners and components for Indian consumer-durable brands.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1,713-2,069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4.54% / 0.33%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(TTM)</w:t>
            </w:r>
          </w:p>
        </w:tc>
        <w:tc>
          <w:tcPr>
            <w:tcW w:type="dxa" w:w="5800"/>
          </w:tcPr>
          <w:p>
            <w:r>
              <w:t xml:space="preserve">Rs 2,118 Cr / -Rs 7.82 Cr (net loss)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20.81% (vs industry 22.31%)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360 / Rs 174 (down -48.7% in 1yr)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of 20.81% sounds respectable in isolation but trails the industry's 22.31% — i.e. the company is losing share even in a growing category. Profitability is the real problem: ROCE 4.54%, ROE effectively zero, and a net loss over the trailing twelve months, with a stated low interest-coverage ratio. Stock down nearly half over one year.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is brand new with zero replies — no community signal to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(0 replies).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of ~21% CAGR shows genuine volume expansion in the room-AC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AC penetration remains low versus peers — long-run category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loss and near-zero ROE despite revenue growth — an ODM/commodity model with no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Growing slower than the industry average — losing relative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VP community engagement — no external validation of a turnaround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1,713-2,069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Commoditized ODM model, weak returns, no differentiation or re-rating catalyst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Commoditized room-AC ODM with weak returns and no re-rating catalyst —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both trailing profitability and recent trend are weak with no catalyst — filtered out per Step 3.4.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1.0 (tailwind/tam weak at best, moat none, valuation none given the loss) — hard neither regardless.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2026-10-01T15:09:00.753Z</dcterms:created>
  <dcterms:modified xsi:type="dcterms:W3CDTF">2026-10-01T15:09:00.753Z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