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National Stock Exchange of India Ltd (NSE)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best business in the Indian market — a debt-free, 40%+ ROCE monopoly exchange that just IPO'd — but at Rs 4.36 lakh Cr, no multiple-based thesis is mathematically plausible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India's dominant stock exchange (screen-based trading since 1994): 12.91 crore unique registered investors, 2,978 listed entities, Rs 411 lakh Cr of market cap on its platform, Rs 20.33 lakh Cr FY26 fund mobilisation. Core revenue is transaction charges (~79% of operating revenue, concentrated in equity options) plus a growing data/index/listing/GIFT City franchise. Just completed its long-awaited IPO.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4,36,355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40.6% / 28.6% (3yr avg ROE 34.5%)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EBITDA margin</w:t>
            </w:r>
          </w:p>
        </w:tc>
        <w:tc>
          <w:tcPr>
            <w:tcW w:type="dxa" w:w="5800"/>
          </w:tcPr>
          <w:p>
            <w:r>
              <w:t xml:space="preserve">66.85%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vs FY25</w:t>
            </w:r>
          </w:p>
        </w:tc>
        <w:tc>
          <w:tcPr>
            <w:tcW w:type="dxa" w:w="5800"/>
          </w:tcPr>
          <w:p>
            <w:r>
              <w:t xml:space="preserve">Revenue and PAT DECLINED — cyclical volumes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quality by any measure — network-effect monopoly, capital-light, debt-free, industry-leading margins. But the business is genuinely cyclical: FY26 revenue and PAT both declined from FY25 on softer derivatives volumes, underscoring that even a monopoly exchange isn't immune to activity cycles. The IPO itself (just completed) is the defining near-term event — providing public-market price discovery after decades as an unlisted quasi-utility.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(fresh IPO, insufficient listed trading history).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thread (8 posts, started 2026-09-22, just after IPO). One detailed bull case laying out the tollbooth/network-effect framework and quoting Buffett/Munger-style exchange economics; one governance-risk flag from 2026-09-28 (SEBI exploring a panel on exchange self-listing conflict-of-interest/governance rules).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Elevated-tier user Satishwe posted (image only, no extractable text); karanshah137 (elevated) flagged the SEBI self-listing-panel news on 2026-09-28 — a live regulatory-structure risk specific to a newly-listed exchange.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reportedly considering a panel to examine self-listing rules for exchanges, addressing conflict-of-interest/governance structure questions (CNBCTV18, 2026-09-28) — monitor for framework specifics.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Textbook "tollbooth" monopoly: liquidity-begets-liquidity network effect, near-impossible for a new entrant to dislodge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40.6% ROCE, debt-free, 66.85% operating margin — best-in-class capital efficiency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 runway: India's demat-account base (22.45 Cr) and household equity allocation still rising from a low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itself is a structural catalyst — public pricing, deeper liquidity, broader investor access versus the prior unlisted-market discount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and PAT both fell from FY25 — even a monopoly exchange is volume-cyclical, especially via options-premium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SEBI scrutiny of self-listing governance/conflict-of-interest — regulatory structure risk specific to the exchange-as-listed-company situation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(~Rs 4.36 lakh Cr) already prices in the quality — "everyone knows exchanges are incredible businesses, they rarely trade at a cheap price"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precludes any multiple-based return thesis regardless of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4,36,355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Exceptional quality/moat but mega-cap size and full-value IPO pricing override any multiplier thesis; see verdict_reasoning for the explicit large-cap-exception rejection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single highest-quality business the screen has seen — monopoly moat, 40%+ ROCE, debt-free — but at Rs 4.36 lakh Cr, even the large-cap named-inflection exception (the IPO itself) cannot support a 10x or 100x return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Considered the large-cap-inflection exception explicitly: the IPO/listing event is a genuine, named, structural inflection (unlisted-to-listed re-rating). But even a generous re-rating (20-50%) falls nowhere near the 10x-in-2-3-years or 100x-in-10-years thresholds the project's thesis framework requires — at this market cap, 100x would mean NSE becoming worth multiple multiples of India's entire GDP. The exception is for inflections at companies that still have genuine room to compound off a smaller base, not an already-mega-cap monopoly.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Four-box: tailwind yes (financialisation of household savings, strong secular), tam no (core trading TAM already captured), moat yes (textbook network-effect monopoly), valuation no (freshly IPO'd, priced for quality, FY26 earnings actually declined) → score 2.0, and the size math overrides any 2.0-2.5-bracket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high on pure business-quality grounds (this is genuinely one of the best businesses in the Indian listed universe) even though thesis_fit is neither — worth flagging for the project's separate max-returns/quality ranking rather than the multiplier framework.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(financialisation theme matched via "stock exchange" keyword, priority 2) — recency discovery, first scan since IPO.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2026-10-01T15:09:05.070Z</dcterms:created>
  <dcterms:modified xsi:type="dcterms:W3CDTF">2026-10-01T15:09:05.071Z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