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2026-09-16 · 230 guidance-assessed, 656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77.25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Gopalpur TAN + Hazira nitric acid commissioning (Q2 FY27) and the Q3 FY27 print showing new-capacity + sustained-margin contribution, plus NCLT / regulatory milestones on the TAN demerger scheme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scheme approval timeline and final terms; utilisation ramp speed + tan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91.37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57.57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70.37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margin prints testing the 11-12% EBITDA guidance against the mix shift toward BOS-scope and defence/aerospace orders; clarity on the RPT-vote dissent and borrowing-limit usage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Quartz capacity expansion (1.25m units) commissioning + the FY27 exit-quarter margin print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quartz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Mexico capex restart once US tariff clarity emerges, or PU-plant utilization finally moving meaningfully above ~25%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tariff policy resolution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Q4 FY27 print showing Shipway growth above 20% and Uniware sustaining above 15%, confirming the churn-resolution thesis across multiple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Kotak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Naming of the new CEO/MD successor, and continued Q2/Q3 FY27 results confirming the post-ban growth trajectory and Deutsche Bank India integration progress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integration execution concurrent with the ceo transition; successor quality/continuity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36.25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consultancy-mix-driven margin expansion across FY27, and confirmation of Dangote contract execution milestones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overseas client/project concentration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34.27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railroad-casting-component approval decision (currently in field trials, management ~85%+ confidence) - a real, currently-excluded-from-guidance upside catalyst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this specific approval outcome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80.75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May-2026 Rs 12 Cr/month run-rate holds, and whether Aflairza's stalled growth reverses post-integration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aflairza integration economics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FY27 Rs500cr guidance progress, a margin-recovery inflection (vs the FY26 -500bps compression), and A&amp;D order flow (Big Bang Boom JV formalisation + HAL orders)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hal customer concentration within the a&amp;d leg; simultaneous execution across railway, metro and a&amp;d segments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AMISP empanelment confirmation + the next 1-2 quarters of cash-flow/working-capital data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government/discom payment-cycle timing; this specific metric not improving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34.04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the EBITDA margin contraction reverses and whether the guided 55-60% revenue/PAT growth and Rs 1,800-2,000 Cr pre-sales target stay on track across the 4 additional FY27 project launches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21.03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20.46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56.71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Appointment of a replacement statutory auditor to fill the casual vacancy, and Surat facility full commissioning/ramp confirmation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clarity on the resignation reason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30.03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Organon acquisition close (targeted Q4 FY27) and continued confirmation of the specialty-led margin-expansion trend across FY27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regulatory approval in any key jurisdiction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Lohia Corp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order-book-to-revenue conversion and margin sustainability across the next 2-3 quarters, confirming Q1 FY27 is the start of a trend rather than a one-off low-base print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20.59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-3%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In-house manufacturing facility commissioning + the first full quarter of post-listing disclosure (Q2/Q3 FY27), confirming whether margin improves and cash conversion stabilises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loss of a top-10 karigar relationship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18.86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no-catalyst, thin-evidence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84.62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15,000-unit skid capacity commissioning (Oct-Nov 2026) + Q3/Q4 FY27 prints showing skid utilisation 60-70% and margin toward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65.43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55.86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40.71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prints testing whether the Q1FY27 deceleration (+14%) was a one-off cost/timing issue (management's claim) or a genuine growth-rate reset, plus whether gross margin actually normalises by Q3FY27 as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22.74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FY26 annual report / cash-flow statement - the key test of whether the 9M FY26 margin recovery is accompanied by normalised operating cash flow and working-capital days, or whether the FY24-style cash-conversion problem persists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18.15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Next 1-2 quarters of cash-flow/working-capital disclosure - the key test of whether the FY25 negative-OCF/positive-PAT divergence is stabilising or worsening as the Navy/BHEL order book scales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NCLT ruling on the 3-entity amalgamation scheme + disclosure of the actual swap ratio and per-share dilution impact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656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Nisus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536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2026-09-17T14:29:53.985Z</dcterms:created>
  <dcterms:modified xsi:type="dcterms:W3CDTF">2026-09-17T14:29:53.986Z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