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Adani Power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India's largest private thermal power generator, riding the domestic power-demand upcycle with explosive revenue growth from recent capacity/M&amp;A additions, but a commodity-like, coal-linked business trading at a rich valuation with no fresh structural inflection.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Adani Power (NSE/BSE: ADANIPOWER) owns and operates thermal (coal-based) power generation capacity across India, accounting for roughly 7.3% of the country's domestic coal-based generation, selling largely under long-term PPAs plus merchant capacity. Revenue has grown extremely fast recently (~118% CAGR per screener, driven by plant acquisitions and capacity additions), well ahead of the power-sector median. Seeded from an untrusted X mention (bullish, medium conviction); this is a mega-cap (~Rs 4.0-4.2 lakh Cr) generic India-power-demand-growth story with no specific new management/regulatory/capital-allocation inflection identified this pass.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4.0-4.2 lakh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</w:t>
            </w:r>
          </w:p>
        </w:tc>
        <w:tc>
          <w:tcPr>
            <w:tcW w:type="dxa" w:w="5800"/>
          </w:tcPr>
          <w:p>
            <w:r>
              <w:t xml:space="preserve">~24.7-25.6% (Mar 2026 / Mar 2025)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Debt/Equity</w:t>
            </w:r>
          </w:p>
        </w:tc>
        <w:tc>
          <w:tcPr>
            <w:tcW w:type="dxa" w:w="5800"/>
          </w:tcPr>
          <w:p>
            <w:r>
              <w:t xml:space="preserve">~0.82 (Mar 2026, consolidated)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~118% CAGR (capacity/M&amp;A driven) vs industry median ~17.6%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Valuation</w:t>
            </w:r>
          </w:p>
        </w:tc>
        <w:tc>
          <w:tcPr>
            <w:tcW w:type="dxa" w:w="5800"/>
          </w:tcPr>
          <w:p>
            <w:r>
              <w:t xml:space="preserve">P/E ~38x trailing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Headline growth and ROE look strong, but both are inflated by recent large capacity acquisitions rather than organic same-plant economics; the business remains coal-price/PPA-linked and commodity-like at its core, with moderate leverage (D/E ~0.82). At ~38x trailing P/E it is priced for continued aggressive expansion, not for a mature regulated utility. No new named CEO/regulatory/capital-allocation inflection surfaced this pass beyond the well-known India power-demand growth narrative.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 this pass - fast large-cap lane, no chart/TA review performed.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 forum read performed (large-cap, no inflection - fast lane per Step 6 rule). topic_id unresolved (null in state.json, not queried this pass).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None sought this pass.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AVOID/EXCLUDE/HIGH CAUTION red flags surfaced in this pass (no negative net worth, no active SEBI/fraud action, no promoter-holding collapse or auditor resignation found). Adani Group's 2023 Hindenburg-era allegations are old news, not re-verified this pass, and not treated as an active red flag.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Largest private thermal power producer in India, direct beneficiary of a genuine multi-year India power-demand upcycle (data centers, manufacturing, EV charging)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Very strong recent revenue and ROE growth from capacity additions/acquisitions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Moderate leverage (D/E ~0.82) relative to capital intensity of the sector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Coal-linked, commodity-like generation business with limited structural moat beyond scale and PPAs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Growth is largely acquisition-driven, not organic - questionable durability of the growth rate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Rich valuation (~38x trailing P/E) for a power generator leaves little margin of safety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Part of the broader Adani group, which carries elevated governance/related-party scrutiny history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Mega-cap (~Rs 4.0-4.2 lakh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yes · TAM: no · moat: weak · valuation: no  (score 1.5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Real India power-demand tailwind; no named structural inflection (large-cap default); moat is scale/PPA-based but commodity-like; valuation rich at ~38x trailing P/E.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Large, fast-growing thermal power generator riding India's power-demand upcycle, but a commodity-like business at a rich valuation with no fresh named inflection - thesis_fit 'neither', conviction Low.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Mega-cap with no specific NAMED management/regulatory/capital-allocation inflection found in this one-search pass - default large-cap rule applies (tam: no)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 flags found; fast ~130-word write-up per Step 6, no forum deep-dive performed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Real tailwind (India power demand) but weak moat (commodity/coal-linked) and rich valuation cap conviction at Low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2026-09-13T11:10:09.217Z</dcterms:created>
  <dcterms:modified xsi:type="dcterms:W3CDTF">2026-09-13T11:10:09.223Z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