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Archit Nuwood Industries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Small-cap MDF/HDF and pre-laminated board manufacturer with genuinely strong FY24 returns (ROCE ~40%, ROE ~57%) riding the furniture/interiors import-substitution tailwind, but a fast-deteriorating working-capital trend and zero community corroboration temper conviction to Medium.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Founded in 2017, Archit Nuwood Industries manufactures MDF and HDF boards and pre-laminated boards for the furniture/interiors value chain, benefiting from domestic import-substitution dynamics (anti-dumping duties on Chinese/other MDF imports) and India's organised-furniture growth. Recently listed via IPO. Seeded via X triage (untrusted, @Disciplined_Inv, very-high conviction, 2026-09-13).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639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EBITDA / PAT (FY24)</w:t>
            </w:r>
          </w:p>
        </w:tc>
        <w:tc>
          <w:tcPr>
            <w:tcW w:type="dxa" w:w="5800"/>
          </w:tcPr>
          <w:p>
            <w:r>
              <w:t xml:space="preserve">Revenue ~Rs 184-197 Cr; EBITDA ~Rs 63 Cr; PAT ~Rs 36.9-42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(FY24)</w:t>
            </w:r>
          </w:p>
        </w:tc>
        <w:tc>
          <w:tcPr>
            <w:tcW w:type="dxa" w:w="5800"/>
          </w:tcPr>
          <w:p>
            <w:r>
              <w:t xml:space="preserve">~40.4%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(FY24)</w:t>
            </w:r>
          </w:p>
        </w:tc>
        <w:tc>
          <w:tcPr>
            <w:tcW w:type="dxa" w:w="5800"/>
          </w:tcPr>
          <w:p>
            <w:r>
              <w:t xml:space="preserve">~57.4%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Implied P/E</w:t>
            </w:r>
          </w:p>
        </w:tc>
        <w:tc>
          <w:tcPr>
            <w:tcW w:type="dxa" w:w="5800"/>
          </w:tcPr>
          <w:p>
            <w:r>
              <w:t xml:space="preserve">~15x on FY24 PAT - moderate for the return profile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Working capital</w:t>
            </w:r>
          </w:p>
        </w:tc>
        <w:tc>
          <w:tcPr>
            <w:tcW w:type="dxa" w:w="5800"/>
          </w:tcPr>
          <w:p>
            <w:r>
              <w:t xml:space="preserve">Debtor days 71 -&gt; 97.2; working-capital days 10.5 -&gt; 96.4 (sharply worsening trend)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headline FY24 return ratios (ROCE ~40%, ROE ~57%) are genuinely strong for a small-cap manufacturer, and the MDF/HDF board category has a real, structural import-substitution tailwind (anti-dumping protection plus organised-furniture growth). At an implied ~15x P/E on FY24 PAT, the valuation is not demanding relative to those returns, which is what permits a 10x-style label on the numbers. However, the sharp deterioration in working-capital days (10.5 to 96.4) and debtor days (71 to 97.2) in the same period is a real caution - it suggests either aggressive revenue recognition, channel stuffing, or a genuine but costly working-capital build to support growth; this was not independently resolved this pass and needs verification against the FY25/FY26 numbers before trusting the FY24 return ratios at face value.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 - recently listed, thin trading history; not a factor in the verdict.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Checked the ValuePickr forum search (2026-09-15): zero results for 'Archit Nuwood' in the relevant categories - no active thread found, no community view available either way.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found - no ValuePickr thread exists for this name as of this pass.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formal red flags identified this pass (no going-concern, fraud, or promoter-pledge signal found). The working-capital deterioration (debtor/working-capital days roughly doubling) is flagged as a genuine caution in bear_case, not a red-flag tier, but warrants a closer look before increasing conviction further.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Genuinely strong FY24 returns: ROCE ~40%, ROE ~57% - well above what a commodity board manufacturer would typically post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Real, structural import-substitution tailwind in MDF/HDF boards (anti-dumping protection) plus organised furniture/interiors growth as the underlying TAM driver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Moderate implied valuation (~15x P/E on FY24 PAT) relative to the return profile - four_box score of 3.5 permits a 10x-style label on the fundamentals alone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days nearly 10x'd (10.5 -&gt; 96.4) and debtor days rose materially (71 -&gt; 97.2) in the same period as the strong FY24 returns - unresolved this pass, a real risk to the quality of those returns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ValuePickr community thread or corroboration exists for this name - conviction rests on fundamentals alone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Young company (founded 2017), recently listed, without a long multi-year track record to confirm the FY24 numbers are sustainable rather than a one-off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639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yes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Strong FY24 ROCE/ROE and a real import-substitution tailwind support tailwind/tam/valuation; moat scored weak given the company's short track record (founded 2017, recently listed) and no demonstrated brand/scale moat yet.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Small-cap MDF/HDF board maker with strong FY24 ROCE/ROE (~40%/~57%) and a real import-substitution tailwind at a moderate ~15x P/E - four_box score 3.5 permits a 10x-in-2-3-years label, but a sharply worsening working-capital trend and zero forum corroboration cap conviction at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3.5 (tailwind yes - import substitution/anti-dumping; tam yes - organised furniture growth; moat weak - young company, no strong brand/scale moat yet; valuation yes - ~15x P/E against ~40-57% returns) - score &gt;=3.0 permits the 10x-in-2-3-years label per the small/mid-cap scoring rule (analyst_override applied)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 the assignment's explicit rule, conviction is capped at Medium (not higher) because there is no real forum/community corroboration - only fundamentals support this call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working-capital deterioration (debtor/working-capital days both roughly doubling in FY24) is a genuine, unresolved caution that should be re-checked against FY25/FY26 filings before any conviction increase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ValuePickr thread found via forum search this pass (topic_id remains null/unresolved)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2026-09-15T15:16:49.476Z</dcterms:created>
  <dcterms:modified xsi:type="dcterms:W3CDTF">2026-09-15T15:16:49.476Z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