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Asahi Songwon Colors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phthalocyanine (blue) pigment exporter hit by US tariffs on its export-heavy business - revenue/EBITDA declining, market cap down ~38% in a year and ROE a weak ~5%, so this is a 'neither' on fundamentals, not a tailwind story.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Incorporated in 1990, Asahi Songwon Colors is a leading manufacturer of blue (phthalocyanine) pigments used in inks, plastics, paints, textiles and paper, with globally benchmarked manufacturing and a significant export orientation.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319 Cr (down ~37.8% over the past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535 Cr; Profit ~Rs 17.8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~4.95% (3-year average) -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~67.0%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trend</w:t>
            </w:r>
          </w:p>
        </w:tc>
        <w:tc>
          <w:tcPr>
            <w:tcW w:type="dxa" w:w="5800"/>
          </w:tcPr>
          <w:p>
            <w:r>
              <w:t xml:space="preserve">Q2 FY26 saw a significant revenue and EBITDA decline, driven largely by US tariffs hitting its export-heavy blue-pigment business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dominant recent fact here is a headwind, not a tailwind: US tariff exposure has directly hit revenue and EBITDA in the export-heavy blue-pigment line, and the market has already marked the stock down ~38% over the past year in response. ROE of ~4.95% was already weak before this, indicating thin margins in a competitive, largely commoditized pigment business even before the tariff hit. Promoter holding is stable and high (~67%), which is a positive governance signal, but does not offset the operating deterioration.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fundamentals/news flow (tariff headwind, falling market cap) are sufficient to settle the four-box call.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search performed - four_box score is low enough to default 'neither' hard without a deep-dive per the triage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(no pledge, no going-concern, no known SEBI action) identified in this pass beyond the disclosed tariff-driven operating decline, which is a business headwind, not a governance/balance-sheet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High, stable promoter holding (~67%) with no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global pigment manufacturing base that could benefit if tariff pressure eases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tariffs are actively hurting the export-heavy blue-pigment business - a live headwind, not a resolved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ROE (~4.95%) even before the tariff hit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already down ~38% over the past year, reflecting the deteriorating operating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Commoditized pigment product with limited identified pricing power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319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weak · moat: weak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US tariffs are actively hitting the export-heavy blue-pigment business (Q2 FY26 revenue/EBITDA decline); ROE ~4.95% was already weak; market cap down ~38% in a year.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Export-heavy pigment small-cap actively hurt by US tariffs, with pre-existing weak ROE and a market cap already down ~38% in a year.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no - active tariff headwind, not a tailwind; tam weak - commoditized pigment niche; moat weak - no identified pricing power; valuation weak - falling market cap reflects deteriorating fundamentals, not an obvious bargain). Score &lt;=1.5 -&gt; 'neither'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~4.95% fails the quality bar central to the user's stock-selection framework even before the tariff-driven decline.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forum/community corroboration sought given the low fundamentals score and active negative catalyst (US tariffs).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2026-09-15T15:17:46.461Z</dcterms:created>
  <dcterms:modified xsi:type="dcterms:W3CDTF">2026-09-15T15:17:46.461Z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