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Ashapura Minechem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Bentonite/bauxite mining and mineral-processing company with strong headline fundamentals (ROCE ~17%, ROE ~27%, revenue growth ~12.5% CAGR) undercut by a genuine, verified criminal conviction of the company and its MD in the Belekeri (Karnataka) illegal iron-ore export case.</w:t>
      </w:r>
    </w:p>
    <w:p>
      <w:pPr>
        <w:shd w:fill="FFF0F0" w:val="clear"/>
        <w:spacing w:after="200"/>
      </w:pPr>
      <w:r>
        <w:rPr>
          <w:b/>
          <w:bCs/>
          <w:color w:val="6B2020"/>
          <w:sz w:val="22"/>
          <w:szCs w:val="22"/>
        </w:rPr>
        <w:t xml:space="preserve">RED FLAG TIER: EXCLUDE — </w:t>
      </w:r>
      <w:r>
        <w:rPr>
          <w:sz w:val="20"/>
          <w:szCs w:val="20"/>
        </w:rPr>
        <w:t xml:space="preserve">Company and MD Chetan Shah criminally convicted (26 Oct 2024, Special CBI Court) in the Belekeri (Karnataka) illegal iron-ore export case (IPC 120-B/420/379); joint penalty ~Rs 9.06 Cr, individual sentences up to 7 years. Karnataka High Court has admitted an appeal and suspended the conviction/sentence pending final decision - the matter remains active, not resolved in the company's favour.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Ashapura Minechem (NSE: ASHAPURMIN) is a mining and mineral-processing company specialising in bentonite, bauxite and related industrial minerals, controlled by the Shah promoter group (MD Chetan Navnitlal Shah). Seeded via untrusted X triage (@StocksResearch +1 more, bullish, 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5,861 Cr (Aug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~17.1%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~26.6%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~12.5% CAGR vs industry median ~1.5%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~0.94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fundamentals (ROCE/ROE/growth) are genuinely strong and would normally warrant full small/mid-cap four-box scoring. However, the company and its MD Chetan Shah were criminally convicted on 26 October 2024 by a Special CBI Court (Bengaluru) under IPC Sections 120-B/420/379 in the long-running Belekeri illegal iron-ore export case (with Mallikarjun Shipping Pvt Ltd and others), carrying a joint penalty of ~Rs 9.06 Cr and individual sentences of up to 7 years' imprisonment for the individuals involved. The Karnataka High Court has since admitted an appeal and suspended the conviction/sentence (25% of the fine deposited pending appeal), so this is not a closed, spent matter - it is an active, ongoing criminal/legal process directly involving the company and its MD. Separately, SEBI issued a Rs 2 lakh adjudication order (Feb 2026) for disclosure-lapse violations under LODR Reg 30(2) - minor on its own, but consistent with a pattern of governance/compliance friction.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filtered at the red-flag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Step-4 forum read performed - red flag (EXCLUDE-tier).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red flag.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EXCLUDE-tier: company and MD criminally convicted (Oct 2024) in the Belekeri illegal iron-ore export case; conviction/sentence currently suspended on appeal at the Karnataka High Court, not vacated. Separate minor SEBI disclosure-lapse penalty (Rs 2 lakh, Feb 2026).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standalone fundamentals: ROCE ~17%, ROE ~27%, revenue growing well ahead of industry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and MD Chetan Shah criminally convicted (Oct 2024) in a fraud/illegal-export case; conviction stayed on appeal, not overturned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MD personally faces up to 7 years' imprisonment pending final appellate outcome - a material key-person/governance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Separate SEBI disclosure-lapse penalty adds to a governance-friction pattern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5,861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Fundamentally strong minerals business (ROCE ~17%, ROE ~27%) disqualified by a verified, still-active criminal conviction of the company and its MD in the Belekeri illegal iron-ore export case - EXCLUDE,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red_flag_tier EXCLUDE: verified criminal conviction (not merely an allegation or closed/historical matter) of the company and MD, currently under appeal with the conviction/sentence suspended but not vacated - fits the 'active SEBI/fraud' exclusion criterion on substance, not just headline drama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via a second, targeted search that the conviction is real (Special CBI Court, 26 Oct 2024, joint penalty ~Rs 9.06 Cr, up to 7-yr sentences) and the legal process is still live (High Court appeal admitted, conviction stayed)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Step 4 four_box skipped per the red-flag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fundamentals (ROCE/ROE/growth) are real but do not override an active criminal-fraud finding against the company and its MD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2026-09-16T02:48:16.763Z</dcterms:created>
  <dcterms:modified xsi:type="dcterms:W3CDTF">2026-09-16T02:48:16.764Z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