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Ashok Leyland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 commercial-vehicle maker with strong ROE and robust August 2026 sales momentum (+38% YoY), but high consolidated leverage (D/E ~4.5x, mostly its financing arm) and no named management/structural inflection keep this a fast large-cap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Ashok Leyland Ltd (NSE: ASHOKLEY, BSE: 500477) is India's second-largest commercial-vehicle manufacturer (Hinduja Group), spanning trucks, buses, light commercial vehicles and defence vehicles, with a captive financing arm (Hinduja Leyland Finance). Treated as large-cap per this project's rule (though SEBI's own classification lists it as mid-cap); large-caps default to tam:no absent a specific named inflection. Seeded via X (untrusted triage, @VineetGala, high conviction bullish view).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96,302 Cr (as of 11-Sep-2026)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132.26 - Rs 215.42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24.37% / 15.08%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~4.48x (consolidated - includes Hinduja Leyland Finance NBFC book)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Latest quarter +7.58% QoQ to ~Rs 11,946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Aug 2026 sales</w:t>
            </w:r>
          </w:p>
        </w:tc>
        <w:tc>
          <w:tcPr>
            <w:tcW w:type="dxa" w:w="5800"/>
          </w:tcPr>
          <w:p>
            <w:r>
              <w:t xml:space="preserve">21,038 vehicles incl. exports, +38% YoY; domestic sales +43%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Ashok Leyland shows strong profitability (ROE ~24.4%) and clear near-term operating momentum - August 2026 volumes up 38% YoY (domestic +43%), tracking the broader CV-cycle upturn. Reported consolidated D/E of ~4.48x looks high but is largely a function of consolidating the NBFC financing arm (Hinduja Leyland Finance) alongside the manufacturing business, a common structure for auto majors with captive finance units, rather than distress leverage at the standalone auto business. No named CEO change, regulatory shift, or capital-allocation regime change was found in this fast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this fast large-cap pass per project rule (no forum deep-dive / detailed technicals for large-cap-no-inflection names).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- large-cap with no named inflection, fast pass only per project rule; topic_id remains null.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only: @VineetGala (untrusted X triage), bullish, high conviction. No independent corroboration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SEBI/fraud/auditor/promoter-pledge issues found. No going-concern flags. High D/E is a consolidation-structure effect (captive NBFC), not flagged as a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ROE (~24.4%) and solid August 2026 volume momentum (+38% YoY, domestic +43%)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beneficiary of the ongoing India commercial-vehicle replacement/infrastructure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across trucks, buses, LCVs and defence, with a captive financing arm supporting dealer/customer financing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 or structural inflection found - strong momentum is cyclical, not a fresh structural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D/E of ~4.48x is high, even allowing for the NBFC-consolidation effect, and warrants monitoring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CV demand is cyclical - current strength could reverse with freight-rate or macro softness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- limited multi-bagger optionality even with continued cyclical strength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commercial-vehicle major (~Rs 96,302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CV-cycle momentum and healthy ROE, but no named inflection and a consolidated leverage figure worth watching - fast large-cap pass only.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 applied: tam defaulted to 'no' since no specific named management/structural inflection was found in this fast pass - current strength reads as cyclical CV-upcycle momentum, not a structural regime 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Low-Medium per project rule for large-cap-no-inflection names; no forum deep-dive performed.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high consolidated D/E (~4.48x) is attributed to the captive NBFC financing arm and flagged for awareness rather than as a governance red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seed (VineetGala) only - fast fundamentals triage, not a verified deep-dive.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2026-09-13T06:43:37.098Z</dcterms:created>
  <dcterms:modified xsi:type="dcterms:W3CDTF">2026-09-13T06:43:37.099Z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