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Birlasoft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Mid/large-cap IT services provider (~Rs 7,877 Cr) with broad-based declines in ROE, ROCE and ROA year-over-year, debt-free but no specific named inflection found - a large-cap fast-pass.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Birlasoft Ltd (NSE: BSOFT) is a mid-tier Indian IT services company (part of the CK Birla Group, merged with KPIT's ERP business in 2019) providing enterprise application (SAP/ERP), cloud and digital transformation services to global clients. Seeded via untrusted X triage (@SanaSecurities, 2026-09-13). Treated as large-cap per protocol - fast triage.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7,877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306.35 - Rs 473.75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8.35% over past 5 years (above the IT-industry median of ~2.68%)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Return ratios</w:t>
            </w:r>
          </w:p>
        </w:tc>
        <w:tc>
          <w:tcPr>
            <w:tcW w:type="dxa" w:w="5800"/>
          </w:tcPr>
          <w:p>
            <w:r>
              <w:t xml:space="preserve">ROE, ROCE and ROA all declining sharply year-over-year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~32.9%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Birlasoft has grown revenue faster than the IT-industry median over five years (8.35% vs ~2.68%), but its profitability trend has recently turned - ROE, ROCE and ROA are all described as falling sharply year-over-year, a sign of margin/utilisation pressure typical of mid-tier IT services amid a soft global discretionary-IT-spend environment. The balance sheet remains almost debt-free and the dividend payout is healthy (~32.9%), but no company-specific named catalyst (large deal win, management change, new capability, restructuring) was found this pass to offset the declining profitability trend or justify overriding the large-cap default.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below its 52-week high (Rs 473.75), within the ~Rs 306-474 range - not pulled in further detail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fast-triage protocol; no inflection found, and recent fundamentals are deteriorating).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(large-cap fast triage).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this pass beyond the declining profitability trend noted above; balance sheet remains debt-free.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above the IT-industry median over 5 years (8.35% vs ~2.68%)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 with a healthy dividend payout (~32.9%)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SAP/ERP and digital-transformation positioning benefits generically from enterprise cloud migration demand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ROE, ROCE and ROA all declining sharply year-over-year - a clear recent profitability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(deal win, management change, capability shift) found to offset the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Mid-tier IT services provider facing the same soft discretionary-spend environment as larger peers, without their scale advantages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trading meaningfully below its 52-week high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7,877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applied - no specific named inflection found; sharply declining ROE/ROCE/ROA year-over-year weighs on tailwind/moat/valuation despite above-median 5-yr revenue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Mid/large-cap IT services company with above-median revenue growth but sharply declining return ratios and no specific named inflection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Treated as large-cap per protocol (explicitly named as likely qualifying): tam defaults 'no' absent a specific named management/structural inflection - none found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tailwind weak (generic enterprise-cloud/GenAI-services demand, not company-specific), tam no, moat weak (mid-tier IT services provider without differentiated scale/IP), valuation weak (declining profitability metrics despite reasonable growth) -&gt; score 1.5.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the large-cap-no-inflection rule; conviction Low given the recent sharp decline in ROE/ROCE/ROA.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fast-triage protocol.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2026-09-16T02:42:58.824Z</dcterms:created>
  <dcterms:modified xsi:type="dcterms:W3CDTF">2026-09-16T02:42:58.825Z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