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Debock Industries Ltd (DIL)</w:t>
      </w:r>
    </w:p>
    <w:p>
      <w:pPr>
        <w:pBdr>
          <w:bottom w:val="single" w:color="CCCCCC" w:sz="6" w:space="8"/>
        </w:pBdr>
        <w:spacing w:after="200"/>
      </w:pPr>
      <w:r>
        <w:rPr>
          <w:i/>
          <w:iCs/>
          <w:color w:val="666666"/>
          <w:sz w:val="22"/>
          <w:szCs w:val="22"/>
        </w:rPr>
        <w:t xml:space="preserve">Nano-cap agri-equipment manufacturer with negative ROCE/ROE, a collapsing 5-year revenue trend, and a debtor-days figure (~9,155 days) so extreme it signals unrecoverable receivables or statement-quality issues.</w:t>
      </w:r>
    </w:p>
    <w:p>
      <w:pPr>
        <w:shd w:fill="FFF0F0" w:val="clear"/>
        <w:spacing w:after="200"/>
      </w:pPr>
      <w:r>
        <w:rPr>
          <w:b/>
          <w:bCs/>
          <w:color w:val="A32020"/>
          <w:sz w:val="22"/>
          <w:szCs w:val="22"/>
        </w:rPr>
        <w:t xml:space="preserve">RED FLAG TIER: AVOID — </w:t>
      </w:r>
      <w:r>
        <w:rPr>
          <w:sz w:val="20"/>
          <w:szCs w:val="20"/>
        </w:rPr>
        <w:t xml:space="preserve">Negative ROCE (~-0.77%) and ROE (~-0.69%), a 5-year revenue CAGR of ~-31.1%, and an extreme ~9,155-day debtors figure indicating likely-unrecoverable receivables or financial-statement quality issues - a going-concern-adjacent distress profile.</w:t>
      </w:r>
    </w:p>
    <w:p>
      <w:pPr>
        <w:pStyle w:val="Heading1"/>
        <w:spacing w:after="120" w:before="280"/>
      </w:pPr>
      <w:r>
        <w:t xml:space="preserve">Business Overview</w:t>
      </w:r>
    </w:p>
    <w:p>
      <w:pPr>
        <w:spacing w:after="120"/>
      </w:pPr>
      <w:r>
        <w:t xml:space="preserve">Debock Industries Ltd (NSE ticker: DIL, matching the state.json name exactly) manufactures agricultural equipment (tractor trolleys, threshers, ploughs, tillers, seed drills, harvesters, chaff cutters) from Deoli, Tonk, Rajasthan, and has diversified into hospitality (Hotel Debock Inn) and mining/quarrying. Seeded via an untrusted X tip (@rajuidesai, bearish, very-high conviction, 2026-09-13) - the bearish call is corroborated by the fundamentals found.</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10.6 - 34 Cr (nano-cap, sources vary)</w:t>
            </w:r>
          </w:p>
        </w:tc>
      </w:tr>
      <w:tr>
        <w:tc>
          <w:tcPr>
            <w:tcW w:type="dxa" w:w="3200"/>
            <w:shd w:fill="F2F2F2" w:val="clear"/>
          </w:tcPr>
          <w:p>
            <w:r>
              <w:rPr>
                <w:b/>
                <w:bCs/>
              </w:rPr>
              <w:t xml:space="preserve">ROCE / ROE</w:t>
            </w:r>
          </w:p>
        </w:tc>
        <w:tc>
          <w:tcPr>
            <w:tcW w:type="dxa" w:w="5800"/>
          </w:tcPr>
          <w:p>
            <w:r>
              <w:t xml:space="preserve">ROCE ~-0.77%, ROE ~-0.69% - negative</w:t>
            </w:r>
          </w:p>
        </w:tc>
      </w:tr>
      <w:tr>
        <w:tc>
          <w:tcPr>
            <w:tcW w:type="dxa" w:w="3200"/>
            <w:shd w:fill="F2F2F2" w:val="clear"/>
          </w:tcPr>
          <w:p>
            <w:r>
              <w:rPr>
                <w:b/>
                <w:bCs/>
              </w:rPr>
              <w:t xml:space="preserve">Revenue growth</w:t>
            </w:r>
          </w:p>
        </w:tc>
        <w:tc>
          <w:tcPr>
            <w:tcW w:type="dxa" w:w="5800"/>
          </w:tcPr>
          <w:p>
            <w:r>
              <w:t xml:space="preserve">5-yr sales CAGR ~-31.1% - structurally shrinking</w:t>
            </w:r>
          </w:p>
        </w:tc>
      </w:tr>
      <w:tr>
        <w:tc>
          <w:tcPr>
            <w:tcW w:type="dxa" w:w="3200"/>
            <w:shd w:fill="F2F2F2" w:val="clear"/>
          </w:tcPr>
          <w:p>
            <w:r>
              <w:rPr>
                <w:b/>
                <w:bCs/>
              </w:rPr>
              <w:t xml:space="preserve">Promoter holding</w:t>
            </w:r>
          </w:p>
        </w:tc>
        <w:tc>
          <w:tcPr>
            <w:tcW w:type="dxa" w:w="5800"/>
          </w:tcPr>
          <w:p>
            <w:r>
              <w:t xml:space="preserve">~9.41% - very low</w:t>
            </w:r>
          </w:p>
        </w:tc>
      </w:tr>
      <w:tr>
        <w:tc>
          <w:tcPr>
            <w:tcW w:type="dxa" w:w="3200"/>
            <w:shd w:fill="F2F2F2" w:val="clear"/>
          </w:tcPr>
          <w:p>
            <w:r>
              <w:rPr>
                <w:b/>
                <w:bCs/>
              </w:rPr>
              <w:t xml:space="preserve">Debtors</w:t>
            </w:r>
          </w:p>
        </w:tc>
        <w:tc>
          <w:tcPr>
            <w:tcW w:type="dxa" w:w="5800"/>
          </w:tcPr>
          <w:p>
            <w:r>
              <w:t xml:space="preserve">~9,155 days - an extreme, likely unrecoverable-receivables signal</w:t>
            </w:r>
          </w:p>
        </w:tc>
      </w:tr>
      <w:tr>
        <w:tc>
          <w:tcPr>
            <w:tcW w:type="dxa" w:w="3200"/>
            <w:shd w:fill="F2F2F2" w:val="clear"/>
          </w:tcPr>
          <w:p>
            <w:r>
              <w:rPr>
                <w:b/>
                <w:bCs/>
              </w:rPr>
              <w:t xml:space="preserve">Debt</w:t>
            </w:r>
          </w:p>
        </w:tc>
        <w:tc>
          <w:tcPr>
            <w:tcW w:type="dxa" w:w="5800"/>
          </w:tcPr>
          <w:p>
            <w:r>
              <w:t xml:space="preserve">Reported almost debt-free, but low interest coverage flagged</w:t>
            </w:r>
          </w:p>
        </w:tc>
      </w:tr>
    </w:tbl>
    <w:p>
      <w:pPr>
        <w:spacing w:after="100"/>
      </w:pPr>
    </w:p>
    <w:p>
      <w:pPr>
        <w:spacing w:after="120"/>
      </w:pPr>
      <w:r>
        <w:t xml:space="preserve">Fast disposition - AVOID. Both ROCE and ROE are negative, five-year revenue has shrunk by roughly a third annually on a CAGR basis, and promoter holding is very low for an operating company. Most striking is a reported debtors figure of ~9,155 days - a number so far outside normal working-capital ranges that it points either to receivables that are effectively unrecoverable or to significant financial-statement quality issues; either reading supports treating this as a going-concern-adjacent red flag rather than a viable turnaround case. The unrelated diversification into hospitality and mining/quarrying alongside a core agri-equipment business is itself a capital-allocation caution sign.</w:t>
      </w:r>
    </w:p>
    <w:p>
      <w:pPr>
        <w:pStyle w:val="Heading1"/>
        <w:spacing w:after="120" w:before="280"/>
      </w:pPr>
      <w:r>
        <w:t xml:space="preserve">Technical Read (Weekly / Monthly MACD + Bollinger Bands, or RSI/CCI/Williams %R proxy)</w:t>
      </w:r>
    </w:p>
    <w:p>
      <w:pPr>
        <w:spacing w:after="120"/>
      </w:pPr>
      <w:r>
        <w:t xml:space="preserve">Not pulled - red-flag AVOID short-circuits Step 4/6/7.</w:t>
      </w:r>
    </w:p>
    <w:p>
      <w:pPr>
        <w:pStyle w:val="Heading1"/>
        <w:spacing w:after="120" w:before="280"/>
      </w:pPr>
      <w:r>
        <w:t xml:space="preserve">ValuePickr Community Signal</w:t>
      </w:r>
    </w:p>
    <w:p>
      <w:pPr>
        <w:spacing w:after="120"/>
      </w:pPr>
      <w:r>
        <w:t xml:space="preserve">No forum check performed per red-flag rule.</w:t>
      </w:r>
    </w:p>
    <w:p>
      <w:pPr>
        <w:spacing w:after="120"/>
      </w:pPr>
      <w:r>
        <w:rPr>
          <w:b/>
          <w:bCs/>
          <w:sz w:val="20"/>
          <w:szCs w:val="20"/>
        </w:rPr>
        <w:t xml:space="preserve">High-conviction call from a top contributor: </w:t>
      </w:r>
      <w:r>
        <w:rPr>
          <w:sz w:val="20"/>
          <w:szCs w:val="20"/>
        </w:rPr>
        <w:t xml:space="preserve">None sought - red flag.</w:t>
      </w:r>
    </w:p>
    <w:p>
      <w:pPr>
        <w:pStyle w:val="Heading1"/>
        <w:spacing w:after="120" w:before="280"/>
      </w:pPr>
      <w:r>
        <w:t xml:space="preserve">BSE Corporate Actions / Other Red Flags</w:t>
      </w:r>
    </w:p>
    <w:p>
      <w:pPr>
        <w:spacing w:after="120"/>
      </w:pPr>
      <w:r>
        <w:t xml:space="preserve">AVOID: negative ROCE/ROE, a structurally shrinking revenue base (5-yr CAGR ~-31.1%), and an extreme ~9,155-day debtors figure indicating likely-unrecoverable receivables or statement-quality problems. Very low promoter holding (~9.41%) adds to the caution.</w:t>
      </w:r>
    </w:p>
    <w:p>
      <w:pPr>
        <w:pStyle w:val="Heading1"/>
        <w:spacing w:after="120" w:before="280"/>
      </w:pPr>
      <w:r>
        <w:t xml:space="preserve">Bull Case</w:t>
      </w:r>
    </w:p>
    <w:p>
      <w:pPr>
        <w:pStyle w:val="ListParagraph"/>
        <w:numPr>
          <w:ilvl w:val="0"/>
          <w:numId w:val="1"/>
        </w:numPr>
        <w:spacing w:after="60"/>
      </w:pPr>
      <w:r>
        <w:t xml:space="preserve">Reportedly almost debt-free on a headline basis</w:t>
      </w:r>
    </w:p>
    <w:p>
      <w:pPr>
        <w:pStyle w:val="Heading1"/>
        <w:spacing w:after="120" w:before="280"/>
      </w:pPr>
      <w:r>
        <w:t xml:space="preserve">Bear Case / Key Risks</w:t>
      </w:r>
    </w:p>
    <w:p>
      <w:pPr>
        <w:pStyle w:val="ListParagraph"/>
        <w:numPr>
          <w:ilvl w:val="0"/>
          <w:numId w:val="1"/>
        </w:numPr>
        <w:spacing w:after="60"/>
      </w:pPr>
      <w:r>
        <w:t xml:space="preserve">Negative ROCE (~-0.77%) and ROE (~-0.69%) - the business is not earning an economic return</w:t>
      </w:r>
    </w:p>
    <w:p>
      <w:pPr>
        <w:pStyle w:val="ListParagraph"/>
        <w:numPr>
          <w:ilvl w:val="0"/>
          <w:numId w:val="1"/>
        </w:numPr>
        <w:spacing w:after="60"/>
      </w:pPr>
      <w:r>
        <w:t xml:space="preserve">5-year revenue CAGR ~-31.1% - a structurally shrinking core business</w:t>
      </w:r>
    </w:p>
    <w:p>
      <w:pPr>
        <w:pStyle w:val="ListParagraph"/>
        <w:numPr>
          <w:ilvl w:val="0"/>
          <w:numId w:val="1"/>
        </w:numPr>
        <w:spacing w:after="60"/>
      </w:pPr>
      <w:r>
        <w:t xml:space="preserve">Debtors of ~9,155 days is an extreme outlier suggesting unrecoverable receivables or accounting-quality concerns</w:t>
      </w:r>
    </w:p>
    <w:p>
      <w:pPr>
        <w:pStyle w:val="ListParagraph"/>
        <w:numPr>
          <w:ilvl w:val="0"/>
          <w:numId w:val="1"/>
        </w:numPr>
        <w:spacing w:after="60"/>
      </w:pPr>
      <w:r>
        <w:t xml:space="preserve">Very low promoter holding (~9.41%) for an operating company</w:t>
      </w:r>
    </w:p>
    <w:p>
      <w:pPr>
        <w:pStyle w:val="ListParagraph"/>
        <w:numPr>
          <w:ilvl w:val="0"/>
          <w:numId w:val="1"/>
        </w:numPr>
        <w:spacing w:after="60"/>
      </w:pPr>
      <w:r>
        <w:t xml:space="preserve">Unrelated diversification (hospitality, mining/quarrying) alongside a shrinking core business is a capital-allocation red flag</w:t>
      </w:r>
    </w:p>
    <w:p>
      <w:pPr>
        <w:pStyle w:val="ListParagraph"/>
        <w:numPr>
          <w:ilvl w:val="0"/>
          <w:numId w:val="1"/>
        </w:numPr>
        <w:spacing w:after="60"/>
      </w:pPr>
      <w:r>
        <w:t xml:space="preserve">Untrusted X source's bearish, very-high-conviction call is directionally corroborated by every fundamental metric found</w:t>
      </w:r>
    </w:p>
    <w:p>
      <w:pPr>
        <w:pStyle w:val="Heading1"/>
        <w:spacing w:after="120" w:before="280"/>
      </w:pPr>
      <w:r>
        <w:t xml:space="preserve">Market-Cap Tier (informational — not a gate in this project)</w:t>
      </w:r>
    </w:p>
    <w:p>
      <w:pPr>
        <w:spacing w:after="120"/>
      </w:pPr>
      <w:r>
        <w:rPr>
          <w:b/>
          <w:bCs/>
        </w:rPr>
        <w:t xml:space="preserve">Nano-cap (~Rs 11-34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Negative-return, structurally shrinking nano-cap with an extreme debtors anomaly (~9,155 days) - AVOID, and directionally consistent with the bearish X tip that seeded it.</w:t>
      </w:r>
    </w:p>
    <w:p>
      <w:pPr>
        <w:pStyle w:val="ListParagraph"/>
        <w:numPr>
          <w:ilvl w:val="0"/>
          <w:numId w:val="1"/>
        </w:numPr>
        <w:spacing w:after="60"/>
      </w:pPr>
      <w:r>
        <w:t xml:space="preserve">red_flag_tier AVOID: negative ROCE/ROE plus a ~9,155-day debtors figure reads as a going-concern-adjacent distress signal, on top of a 5-yr revenue CAGR of ~-31.1%.</w:t>
      </w:r>
    </w:p>
    <w:p>
      <w:pPr>
        <w:pStyle w:val="ListParagraph"/>
        <w:numPr>
          <w:ilvl w:val="0"/>
          <w:numId w:val="1"/>
        </w:numPr>
        <w:spacing w:after="60"/>
      </w:pPr>
      <w:r>
        <w:t xml:space="preserve">thesis_fit 'neither', conviction Low, Step 4/6/7 skipped per the red-flag rule.</w:t>
      </w:r>
    </w:p>
    <w:p>
      <w:pPr>
        <w:pStyle w:val="ListParagraph"/>
        <w:numPr>
          <w:ilvl w:val="0"/>
          <w:numId w:val="1"/>
        </w:numPr>
        <w:spacing w:after="60"/>
      </w:pPr>
      <w:r>
        <w:t xml:space="preserve">Entity confirmed with high confidence: state.json name 'DIL' matches the NSE ticker DIL (Debock Industries Ltd) exactly.</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2026-09-15T15:17:12.822Z</dcterms:created>
  <dcterms:modified xsi:type="dcterms:W3CDTF">2026-09-15T15:17:12.823Z</dcterms:modified>
</cp:coreProperties>
</file>

<file path=docProps/custom.xml><?xml version="1.0" encoding="utf-8"?>
<Properties xmlns="http://schemas.openxmlformats.org/officeDocument/2006/custom-properties" xmlns:vt="http://schemas.openxmlformats.org/officeDocument/2006/docPropsVTypes"/>
</file>