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1971-founded Kanpur induction-heating-equipment manufacturer that has shut down its manufacturing operations entirely amid sustained losses - auditors have flagged it as no longer a going concern. Hard AVOID.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Manufacturing operations shut down entirely amid sustained losses from a prolonged industry recession; auditors have explicitly stated the company has ceased to be a going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EMA India Ltd (BSE: EMAINDIA, formerly a leader in induction heating equipment, heat-treatment furnaces and honing machines for automotive/defense clients including TELCO, Ashok Leyland and BEML, with technical tie-ups via Gehring Germany) has, per recent reporting, ceased manufacturing activities entirely after years of losses attributed to a prolonged industry recession. Auditors have explicitly stated the company has ceased to be a going concern. Seeded 2026-09-13 via untrusted X triage (@rajuidesai, medium conviction) - the bullish X view does not survive the fundamentals check.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72.2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129.20 - Rs 876.75 - extreme range consistent with distressed/illiquid micro-cap trading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(reported)</w:t>
            </w:r>
          </w:p>
        </w:tc>
        <w:tc>
          <w:tcPr>
            <w:tcW w:type="dxa" w:w="5800"/>
          </w:tcPr>
          <w:p>
            <w:r>
              <w:t xml:space="preserve">~139.39% (last reported year, consolidated) - a distorted figure typical of a company with a near-zero or negative equity base, not a genuine return signal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Reported as 'almost debt-free', but immaterial given no ongoing operations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status</w:t>
            </w:r>
          </w:p>
        </w:tc>
        <w:tc>
          <w:tcPr>
            <w:tcW w:type="dxa" w:w="5800"/>
          </w:tcPr>
          <w:p>
            <w:r>
              <w:t xml:space="preserve">Manufacturing shut down entirely; auditors state the company has ceased to be a going concern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going-concern AVOID, not a fundamentals debate. The headline ROE of ~139% is a statistical artifact of a shrunken equity base, not evidence of a healthy business - the company has no ongoing manufacturing operations. Skipped further fundamentals work per the red-flag fast-disposition rule.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relevant - distressed micro-cap with a wide 52-week band; no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Step-4/forum read performed - red flag (AVOID), per the fast-disposition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Auditors have stated the company has ceased to be a going concern after shutting down manufacturing entirely amid sustained losses from a prolonged industry recession. 55th AGM scheduled Sept 16,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identified that survives the going-concern finding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operations shut down entirely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Auditors have explicitly stated the company has ceased to be a going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Years of sustained losses preceding the shutdown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financial ratios (e.g. ROE ~139%) are distorted artifacts of a depleted equity base, not signals of business health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Distressed micro-cap (~Rs 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Manufacturing shut down entirely; auditors say the company is no longer a going concern - a red-flag AVOID regardless of the bullish X mention.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auditors have explicitly stated the company has ceased to be a going concern after a full manufacturing shutdown - never overridden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4/forum check skipped per the red-flag rule; four_box exercise skipped (red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distorted ~139% ROE figure is a symptom of the going-concern issue (depleted equity base), not a genuine fundamental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untrusted X triage (@rajuidesai) - the bullish social-media view does not survive even a first-pass fundamentals check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2026-09-15T15:19:45.227Z</dcterms:created>
  <dcterms:modified xsi:type="dcterms:W3CDTF">2026-09-15T15:19:45.227Z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