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Eicher Motors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two-wheeler (Royal Enfield) and heavy-truck (VECV/Volvo Eicher JV) leader with consistently strong returns - a quality compounder, but no specific named management/structural inflection was found this pass to justify a large-cap growth-thesis label.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Eicher Motors owns Royal Enfield (mid-size motorcycles, dominant domestic and growing export franchise) and holds its stake in VE Commercial Vehicles (VECV, the Volvo Group JV), which manufactures Eicher-branded and Volvo trucks/buses - the heavy commercial-vehicle exposure flagged in the seed. Fast large-cap pass only, per scope rules: no forum deep-dive performed.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2,06,700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~24.8%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25,000 Cr; profit ~Rs 5,773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~15.6% (vs industry median ~13.4%)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5-year profit CAGR</w:t>
            </w:r>
          </w:p>
        </w:tc>
        <w:tc>
          <w:tcPr>
            <w:tcW w:type="dxa" w:w="5800"/>
          </w:tcPr>
          <w:p>
            <w:r>
              <w:t xml:space="preserve">~32.8%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5,356 - Rs 8,233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~8.2x book value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high-quality, consistently compounding large-cap: strong ROE (~24.8%), healthy revenue growth ahead of industry median, near-zero debt and a solid 5-year profit CAGR (~32.8%). This is a well-run business by any normal standard, but per the large-cap scope rule, quality alone does not earn a growth-thesis label - only a specific, named management/structural inflection would (e.g., a new CEO-led turnaround, a regulatory/structural shift, or a capital-allocation regime change). No such inflection was identified in this fast pass; the cyclical CV up-cycle referenced in the seed (VECV heavy trucks) is a sector tailwind, not a company-specific structural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large-cap fast-track scope.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(large-cap, no inflection found) per scope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well-known, well-governed large-cap with no adverse signals.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Royal Enfield remains a dominant, high-margin franchise with a growing export/premium-segment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VECV gives exposure to the India heavy-truck replacement/up-cycle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Consistently high ROE (~24.8%) and near-zero debt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 or structural inflection found - the current growth is a continuation of an already-well-understood, well-owned compounder story, not a fresh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~8.2x book and a ~Rs 2 lakh Cr+ market cap, further re-rating room is limited versus a genuine structural surprise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Two-wheeler and CV demand are both cyclical and exposed to rural/freight-cycle swings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2,06,700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tam set 'no' absent a specific named management/structural inflection (none found). Genuine tailwind (RE export growth, CV up-cycle) and moat (RE brand, VECV JV position), but valuation already reflects quality (~8.2x book) and no inflection was identified to justify a growth-thesis label.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large-cap compounder (Royal Enfield + VECV heavy trucks) with strong returns but no named management/structural inflection identified - default large-cap tam 'no' applies.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 set to 'no' absent a specific named inflection (new CEO turnaround, regulatory/structural shift, capital-allocation regime change) - none found in this fast pass; the CV up-cycle is a sector tailwind, not a company-specific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forum deep-dive performed per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~120-word write-up per large-cap-no-inflection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2026-09-13T06:43:47.837Z</dcterms:created>
  <dcterms:modified xsi:type="dcterms:W3CDTF">2026-09-13T06:43:47.837Z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